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EE1" w:rsidRPr="00F57EE1" w:rsidRDefault="00F57EE1" w:rsidP="00F57EE1">
      <w:pPr>
        <w:shd w:val="clear" w:color="auto" w:fill="FFFFFF"/>
        <w:spacing w:after="150" w:line="240" w:lineRule="auto"/>
        <w:jc w:val="center"/>
        <w:rPr>
          <w:rFonts w:ascii="Arial" w:hAnsi="Arial" w:cs="Arial"/>
          <w:b/>
          <w:bCs/>
          <w:color w:val="222222"/>
          <w:sz w:val="44"/>
          <w:szCs w:val="44"/>
          <w:lang w:eastAsia="it-IT"/>
        </w:rPr>
      </w:pPr>
      <w:r w:rsidRPr="00F57EE1">
        <w:rPr>
          <w:rFonts w:ascii="Arial" w:hAnsi="Arial" w:cs="Arial"/>
          <w:b/>
          <w:bCs/>
          <w:color w:val="222222"/>
          <w:sz w:val="44"/>
          <w:szCs w:val="44"/>
          <w:lang w:eastAsia="it-IT"/>
        </w:rPr>
        <w:t xml:space="preserve">Incentivi assunzioni </w:t>
      </w:r>
      <w:proofErr w:type="spellStart"/>
      <w:r w:rsidRPr="00F57EE1">
        <w:rPr>
          <w:rFonts w:ascii="Arial" w:hAnsi="Arial" w:cs="Arial"/>
          <w:b/>
          <w:bCs/>
          <w:color w:val="222222"/>
          <w:sz w:val="44"/>
          <w:szCs w:val="44"/>
          <w:lang w:eastAsia="it-IT"/>
        </w:rPr>
        <w:t>over</w:t>
      </w:r>
      <w:proofErr w:type="spellEnd"/>
      <w:r w:rsidRPr="00F57EE1">
        <w:rPr>
          <w:rFonts w:ascii="Arial" w:hAnsi="Arial" w:cs="Arial"/>
          <w:b/>
          <w:bCs/>
          <w:color w:val="222222"/>
          <w:sz w:val="44"/>
          <w:szCs w:val="44"/>
          <w:lang w:eastAsia="it-IT"/>
        </w:rPr>
        <w:t xml:space="preserve"> 50 nel 2017</w:t>
      </w:r>
    </w:p>
    <w:p w:rsidR="00F57EE1" w:rsidRPr="00F57EE1" w:rsidRDefault="00F57EE1" w:rsidP="00F57EE1">
      <w:pPr>
        <w:shd w:val="clear" w:color="auto" w:fill="FFFFFF"/>
        <w:spacing w:after="150" w:line="240" w:lineRule="auto"/>
        <w:rPr>
          <w:rFonts w:ascii="Arial" w:hAnsi="Arial" w:cs="Arial"/>
          <w:b/>
          <w:bCs/>
          <w:color w:val="222222"/>
          <w:sz w:val="44"/>
          <w:szCs w:val="44"/>
          <w:lang w:eastAsia="it-IT"/>
        </w:rPr>
      </w:pPr>
      <w:proofErr w:type="spellStart"/>
      <w:r w:rsidRPr="00F57EE1">
        <w:rPr>
          <w:rFonts w:ascii="Arial" w:hAnsi="Arial" w:cs="Arial"/>
          <w:b/>
          <w:bCs/>
          <w:color w:val="222222"/>
          <w:sz w:val="44"/>
          <w:szCs w:val="44"/>
          <w:lang w:eastAsia="it-IT"/>
        </w:rPr>
        <w:t>EccoVi</w:t>
      </w:r>
      <w:proofErr w:type="spellEnd"/>
      <w:r w:rsidRPr="00F57EE1">
        <w:rPr>
          <w:rFonts w:ascii="Arial" w:hAnsi="Arial" w:cs="Arial"/>
          <w:b/>
          <w:bCs/>
          <w:color w:val="222222"/>
          <w:sz w:val="44"/>
          <w:szCs w:val="44"/>
          <w:lang w:eastAsia="it-IT"/>
        </w:rPr>
        <w:t xml:space="preserve"> gli incentivi anche per chi ha superato la soglia dei 50 anni, con le regole applicative nella circolare </w:t>
      </w:r>
      <w:r w:rsidRPr="00F57EE1">
        <w:rPr>
          <w:rFonts w:ascii="Arial" w:hAnsi="Arial" w:cs="Arial"/>
          <w:b/>
          <w:bCs/>
          <w:color w:val="222222"/>
          <w:sz w:val="44"/>
          <w:szCs w:val="44"/>
          <w:highlight w:val="yellow"/>
          <w:lang w:eastAsia="it-IT"/>
        </w:rPr>
        <w:t>INPS 111/2013</w:t>
      </w:r>
      <w:r w:rsidRPr="00F57EE1">
        <w:rPr>
          <w:rFonts w:ascii="Arial" w:hAnsi="Arial" w:cs="Arial"/>
          <w:b/>
          <w:bCs/>
          <w:color w:val="222222"/>
          <w:sz w:val="44"/>
          <w:szCs w:val="44"/>
          <w:lang w:eastAsia="it-IT"/>
        </w:rPr>
        <w:t>, a cui Vi rimando.</w:t>
      </w:r>
    </w:p>
    <w:p w:rsidR="00F57EE1" w:rsidRPr="00F57EE1" w:rsidRDefault="00F57EE1" w:rsidP="00F57EE1">
      <w:pPr>
        <w:shd w:val="clear" w:color="auto" w:fill="FFFFFF"/>
        <w:spacing w:after="150" w:line="240" w:lineRule="auto"/>
        <w:rPr>
          <w:rFonts w:ascii="Arial" w:hAnsi="Arial" w:cs="Arial"/>
          <w:b/>
          <w:bCs/>
          <w:color w:val="222222"/>
          <w:sz w:val="44"/>
          <w:szCs w:val="44"/>
          <w:lang w:eastAsia="it-IT"/>
        </w:rPr>
      </w:pPr>
      <w:r w:rsidRPr="00F57EE1">
        <w:rPr>
          <w:rFonts w:ascii="Arial" w:hAnsi="Arial" w:cs="Arial"/>
          <w:b/>
          <w:bCs/>
          <w:color w:val="222222"/>
          <w:sz w:val="44"/>
          <w:szCs w:val="44"/>
          <w:lang w:eastAsia="it-IT"/>
        </w:rPr>
        <w:t>Luisanna Pellecchia</w:t>
      </w:r>
    </w:p>
    <w:p w:rsidR="00F57EE1" w:rsidRDefault="00F57EE1" w:rsidP="00F57EE1">
      <w:pPr>
        <w:shd w:val="clear" w:color="auto" w:fill="FFFFFF"/>
        <w:spacing w:after="150" w:line="338" w:lineRule="atLeast"/>
        <w:jc w:val="both"/>
        <w:rPr>
          <w:rFonts w:ascii="Arial" w:hAnsi="Arial" w:cs="Arial"/>
          <w:i/>
          <w:iCs/>
          <w:color w:val="222222"/>
          <w:sz w:val="36"/>
          <w:szCs w:val="36"/>
          <w:lang w:eastAsia="it-IT"/>
        </w:rPr>
      </w:pPr>
      <w:r>
        <w:rPr>
          <w:rFonts w:ascii="Arial" w:hAnsi="Arial" w:cs="Arial"/>
          <w:i/>
          <w:iCs/>
          <w:color w:val="222222"/>
          <w:sz w:val="36"/>
          <w:szCs w:val="36"/>
          <w:lang w:eastAsia="it-IT"/>
        </w:rPr>
        <w:t xml:space="preserve">Assunzioni agevolate di </w:t>
      </w:r>
      <w:proofErr w:type="spellStart"/>
      <w:r>
        <w:rPr>
          <w:rFonts w:ascii="Arial" w:hAnsi="Arial" w:cs="Arial"/>
          <w:i/>
          <w:iCs/>
          <w:color w:val="222222"/>
          <w:sz w:val="36"/>
          <w:szCs w:val="36"/>
          <w:lang w:eastAsia="it-IT"/>
        </w:rPr>
        <w:t>over</w:t>
      </w:r>
      <w:proofErr w:type="spellEnd"/>
      <w:r>
        <w:rPr>
          <w:rFonts w:ascii="Arial" w:hAnsi="Arial" w:cs="Arial"/>
          <w:i/>
          <w:iCs/>
          <w:color w:val="222222"/>
          <w:sz w:val="36"/>
          <w:szCs w:val="36"/>
          <w:lang w:eastAsia="it-IT"/>
        </w:rPr>
        <w:t xml:space="preserve"> 50: ecco come applicarle anche nel 2017 gli sgravi contributivi del 50% per chi assume disoccupati ultracinquantenni.</w:t>
      </w:r>
    </w:p>
    <w:p w:rsidR="00F57EE1" w:rsidRDefault="00F57EE1" w:rsidP="00F57EE1">
      <w:pPr>
        <w:shd w:val="clear" w:color="auto" w:fill="FFFFFF"/>
        <w:spacing w:after="225" w:line="240" w:lineRule="auto"/>
        <w:jc w:val="both"/>
        <w:rPr>
          <w:rFonts w:ascii="Arial" w:hAnsi="Arial" w:cs="Arial"/>
          <w:b/>
          <w:bCs/>
          <w:color w:val="1A1A1A"/>
          <w:sz w:val="24"/>
          <w:szCs w:val="24"/>
          <w:lang w:eastAsia="it-IT"/>
        </w:rPr>
      </w:pPr>
      <w:r>
        <w:rPr>
          <w:rFonts w:ascii="Arial" w:hAnsi="Arial" w:cs="Arial"/>
          <w:b/>
          <w:bCs/>
          <w:color w:val="1A1A1A"/>
          <w:sz w:val="24"/>
          <w:szCs w:val="24"/>
          <w:lang w:eastAsia="it-IT"/>
        </w:rPr>
        <w:t>Contribuzione al 50%</w:t>
      </w:r>
      <w:r>
        <w:rPr>
          <w:rFonts w:ascii="Arial" w:hAnsi="Arial" w:cs="Arial"/>
          <w:color w:val="1A1A1A"/>
          <w:sz w:val="24"/>
          <w:szCs w:val="24"/>
          <w:lang w:eastAsia="it-IT"/>
        </w:rPr>
        <w:t> per i </w:t>
      </w:r>
      <w:r>
        <w:rPr>
          <w:rFonts w:ascii="Arial" w:hAnsi="Arial" w:cs="Arial"/>
          <w:b/>
          <w:bCs/>
          <w:color w:val="1A1A1A"/>
          <w:sz w:val="24"/>
          <w:szCs w:val="24"/>
          <w:lang w:eastAsia="it-IT"/>
        </w:rPr>
        <w:t>datori di lavoro</w:t>
      </w:r>
      <w:r>
        <w:rPr>
          <w:rFonts w:ascii="Arial" w:hAnsi="Arial" w:cs="Arial"/>
          <w:color w:val="1A1A1A"/>
          <w:sz w:val="24"/>
          <w:szCs w:val="24"/>
          <w:lang w:eastAsia="it-IT"/>
        </w:rPr>
        <w:t> che assumono </w:t>
      </w:r>
      <w:r>
        <w:rPr>
          <w:rFonts w:ascii="Arial" w:hAnsi="Arial" w:cs="Arial"/>
          <w:b/>
          <w:bCs/>
          <w:color w:val="1A1A1A"/>
          <w:sz w:val="24"/>
          <w:szCs w:val="24"/>
          <w:lang w:eastAsia="it-IT"/>
        </w:rPr>
        <w:t>disoccupati ultracinquantenni </w:t>
      </w:r>
      <w:r>
        <w:rPr>
          <w:rFonts w:ascii="Arial" w:hAnsi="Arial" w:cs="Arial"/>
          <w:color w:val="1A1A1A"/>
          <w:sz w:val="24"/>
          <w:szCs w:val="24"/>
          <w:lang w:eastAsia="it-IT"/>
        </w:rPr>
        <w:t xml:space="preserve">nel 2017: si tratta dell’incentivo introdotto dalla Riforma Lavoro 2012, che continua ad essere applicabile dalle imprese. Vediamo una breve guida al beneficio </w:t>
      </w:r>
      <w:r>
        <w:rPr>
          <w:rFonts w:ascii="Arial" w:hAnsi="Arial" w:cs="Arial"/>
          <w:b/>
          <w:bCs/>
          <w:color w:val="1A1A1A"/>
          <w:sz w:val="24"/>
          <w:szCs w:val="24"/>
          <w:lang w:eastAsia="it-IT"/>
        </w:rPr>
        <w:t xml:space="preserve">contributivo assunzioni </w:t>
      </w:r>
      <w:proofErr w:type="spellStart"/>
      <w:r>
        <w:rPr>
          <w:rFonts w:ascii="Arial" w:hAnsi="Arial" w:cs="Arial"/>
          <w:b/>
          <w:bCs/>
          <w:color w:val="1A1A1A"/>
          <w:sz w:val="24"/>
          <w:szCs w:val="24"/>
          <w:lang w:eastAsia="it-IT"/>
        </w:rPr>
        <w:t>over</w:t>
      </w:r>
      <w:proofErr w:type="spellEnd"/>
      <w:r>
        <w:rPr>
          <w:rFonts w:ascii="Arial" w:hAnsi="Arial" w:cs="Arial"/>
          <w:b/>
          <w:bCs/>
          <w:color w:val="1A1A1A"/>
          <w:sz w:val="24"/>
          <w:szCs w:val="24"/>
          <w:lang w:eastAsia="it-IT"/>
        </w:rPr>
        <w:t xml:space="preserve"> 50</w:t>
      </w:r>
      <w:r>
        <w:rPr>
          <w:rFonts w:ascii="Arial" w:hAnsi="Arial" w:cs="Arial"/>
          <w:color w:val="1A1A1A"/>
          <w:sz w:val="24"/>
          <w:szCs w:val="24"/>
          <w:lang w:eastAsia="it-IT"/>
        </w:rPr>
        <w:t>, il cui riferimento normativo sono i </w:t>
      </w:r>
      <w:r>
        <w:rPr>
          <w:rFonts w:ascii="Arial" w:hAnsi="Arial" w:cs="Arial"/>
          <w:i/>
          <w:iCs/>
          <w:color w:val="1A1A1A"/>
          <w:sz w:val="24"/>
          <w:szCs w:val="24"/>
          <w:lang w:eastAsia="it-IT"/>
        </w:rPr>
        <w:t>commi da 8 a 11 dell’articolo 4 della legge 92/2012</w:t>
      </w:r>
      <w:r>
        <w:rPr>
          <w:rFonts w:ascii="Arial" w:hAnsi="Arial" w:cs="Arial"/>
          <w:color w:val="1A1A1A"/>
          <w:sz w:val="24"/>
          <w:szCs w:val="24"/>
          <w:lang w:eastAsia="it-IT"/>
        </w:rPr>
        <w:t xml:space="preserve">, </w:t>
      </w:r>
      <w:r>
        <w:rPr>
          <w:rFonts w:ascii="Arial" w:hAnsi="Arial" w:cs="Arial"/>
          <w:b/>
          <w:bCs/>
          <w:color w:val="1A1A1A"/>
          <w:sz w:val="24"/>
          <w:szCs w:val="24"/>
          <w:lang w:eastAsia="it-IT"/>
        </w:rPr>
        <w:t>mentre le regole applicative sono contenute nella </w:t>
      </w:r>
      <w:r>
        <w:rPr>
          <w:rFonts w:ascii="Arial" w:hAnsi="Arial" w:cs="Arial"/>
          <w:b/>
          <w:bCs/>
          <w:i/>
          <w:iCs/>
          <w:color w:val="1A1A1A"/>
          <w:sz w:val="24"/>
          <w:szCs w:val="24"/>
          <w:lang w:eastAsia="it-IT"/>
        </w:rPr>
        <w:t>circolare INPS 111/2013.</w:t>
      </w:r>
    </w:p>
    <w:p w:rsidR="00F57EE1" w:rsidRDefault="00F57EE1" w:rsidP="00F57EE1">
      <w:pPr>
        <w:shd w:val="clear" w:color="auto" w:fill="FFFFFF"/>
        <w:spacing w:after="225" w:line="240" w:lineRule="auto"/>
        <w:jc w:val="both"/>
        <w:rPr>
          <w:rFonts w:ascii="Arial" w:hAnsi="Arial" w:cs="Arial"/>
          <w:b/>
          <w:bCs/>
          <w:sz w:val="27"/>
          <w:szCs w:val="27"/>
          <w:lang w:eastAsia="it-IT"/>
        </w:rPr>
      </w:pPr>
      <w:hyperlink r:id="rId5" w:tgtFrame="_blank" w:tooltip="Incentivi per chi assume lavoratori over 50: sconto INPS sui contributi" w:history="1">
        <w:r>
          <w:rPr>
            <w:rStyle w:val="Collegamentoipertestuale"/>
            <w:rFonts w:ascii="Arial" w:hAnsi="Arial" w:cs="Arial"/>
            <w:b/>
            <w:bCs/>
            <w:color w:val="auto"/>
            <w:sz w:val="27"/>
            <w:szCs w:val="27"/>
            <w:lang w:eastAsia="it-IT"/>
          </w:rPr>
          <w:t xml:space="preserve">Incentivi per chi assume lavoratori </w:t>
        </w:r>
        <w:proofErr w:type="spellStart"/>
        <w:r>
          <w:rPr>
            <w:rStyle w:val="Collegamentoipertestuale"/>
            <w:rFonts w:ascii="Arial" w:hAnsi="Arial" w:cs="Arial"/>
            <w:b/>
            <w:bCs/>
            <w:color w:val="auto"/>
            <w:sz w:val="27"/>
            <w:szCs w:val="27"/>
            <w:lang w:eastAsia="it-IT"/>
          </w:rPr>
          <w:t>over</w:t>
        </w:r>
        <w:proofErr w:type="spellEnd"/>
        <w:r>
          <w:rPr>
            <w:rStyle w:val="Collegamentoipertestuale"/>
            <w:rFonts w:ascii="Arial" w:hAnsi="Arial" w:cs="Arial"/>
            <w:b/>
            <w:bCs/>
            <w:color w:val="auto"/>
            <w:sz w:val="27"/>
            <w:szCs w:val="27"/>
            <w:lang w:eastAsia="it-IT"/>
          </w:rPr>
          <w:t xml:space="preserve"> 50: sconto INPS sui contributi</w:t>
        </w:r>
      </w:hyperlink>
    </w:p>
    <w:p w:rsidR="00F57EE1" w:rsidRDefault="00F57EE1" w:rsidP="00F57EE1">
      <w:pPr>
        <w:shd w:val="clear" w:color="auto" w:fill="FFFFFF"/>
        <w:spacing w:after="225" w:line="240" w:lineRule="auto"/>
        <w:jc w:val="both"/>
        <w:rPr>
          <w:rFonts w:ascii="Arial" w:hAnsi="Arial" w:cs="Arial"/>
          <w:color w:val="1A1A1A"/>
          <w:sz w:val="24"/>
          <w:szCs w:val="24"/>
          <w:lang w:eastAsia="it-IT"/>
        </w:rPr>
      </w:pPr>
      <w:r>
        <w:rPr>
          <w:rFonts w:ascii="Arial" w:hAnsi="Arial" w:cs="Arial"/>
          <w:color w:val="1A1A1A"/>
          <w:sz w:val="24"/>
          <w:szCs w:val="24"/>
          <w:lang w:eastAsia="it-IT"/>
        </w:rPr>
        <w:t>Le </w:t>
      </w:r>
      <w:r>
        <w:rPr>
          <w:rFonts w:ascii="Arial" w:hAnsi="Arial" w:cs="Arial"/>
          <w:b/>
          <w:bCs/>
          <w:color w:val="1A1A1A"/>
          <w:sz w:val="24"/>
          <w:szCs w:val="24"/>
          <w:lang w:eastAsia="it-IT"/>
        </w:rPr>
        <w:t>assunzioni agevolate</w:t>
      </w:r>
      <w:r>
        <w:rPr>
          <w:rFonts w:ascii="Arial" w:hAnsi="Arial" w:cs="Arial"/>
          <w:color w:val="1A1A1A"/>
          <w:sz w:val="24"/>
          <w:szCs w:val="24"/>
          <w:lang w:eastAsia="it-IT"/>
        </w:rPr>
        <w:t> riguardano lavoratori e lavoratrici con almeno 50 anni di età disoccupati da almeno 12 mesi. Il contratto può essere a </w:t>
      </w:r>
      <w:r>
        <w:rPr>
          <w:rFonts w:ascii="Arial" w:hAnsi="Arial" w:cs="Arial"/>
          <w:b/>
          <w:bCs/>
          <w:color w:val="1A1A1A"/>
          <w:sz w:val="24"/>
          <w:szCs w:val="24"/>
          <w:lang w:eastAsia="it-IT"/>
        </w:rPr>
        <w:t>tempo indeterminato o determinato,</w:t>
      </w:r>
      <w:r>
        <w:rPr>
          <w:rFonts w:ascii="Arial" w:hAnsi="Arial" w:cs="Arial"/>
          <w:color w:val="1A1A1A"/>
          <w:sz w:val="24"/>
          <w:szCs w:val="24"/>
          <w:lang w:eastAsia="it-IT"/>
        </w:rPr>
        <w:t xml:space="preserve"> sono ammesse anche le trasformazioni a tempo indeterminato di precedenti contratti agevolati, i contratti part-time e in somministrazione. La durata dell’incentivo assunzioni </w:t>
      </w:r>
      <w:proofErr w:type="spellStart"/>
      <w:r>
        <w:rPr>
          <w:rFonts w:ascii="Arial" w:hAnsi="Arial" w:cs="Arial"/>
          <w:color w:val="1A1A1A"/>
          <w:sz w:val="24"/>
          <w:szCs w:val="24"/>
          <w:lang w:eastAsia="it-IT"/>
        </w:rPr>
        <w:t>over</w:t>
      </w:r>
      <w:proofErr w:type="spellEnd"/>
      <w:r>
        <w:rPr>
          <w:rFonts w:ascii="Arial" w:hAnsi="Arial" w:cs="Arial"/>
          <w:color w:val="1A1A1A"/>
          <w:sz w:val="24"/>
          <w:szCs w:val="24"/>
          <w:lang w:eastAsia="it-IT"/>
        </w:rPr>
        <w:t xml:space="preserve"> 50 cambia a seconda della</w:t>
      </w:r>
      <w:r>
        <w:rPr>
          <w:rFonts w:ascii="Arial" w:hAnsi="Arial" w:cs="Arial"/>
          <w:b/>
          <w:bCs/>
          <w:color w:val="1A1A1A"/>
          <w:sz w:val="24"/>
          <w:szCs w:val="24"/>
          <w:lang w:eastAsia="it-IT"/>
        </w:rPr>
        <w:t> tipologia di contratto</w:t>
      </w:r>
      <w:r>
        <w:rPr>
          <w:rFonts w:ascii="Arial" w:hAnsi="Arial" w:cs="Arial"/>
          <w:color w:val="1A1A1A"/>
          <w:sz w:val="24"/>
          <w:szCs w:val="24"/>
          <w:lang w:eastAsia="it-IT"/>
        </w:rPr>
        <w:t>:</w:t>
      </w:r>
    </w:p>
    <w:p w:rsidR="00F57EE1" w:rsidRDefault="00F57EE1" w:rsidP="00F57EE1">
      <w:pPr>
        <w:numPr>
          <w:ilvl w:val="0"/>
          <w:numId w:val="1"/>
        </w:numPr>
        <w:shd w:val="clear" w:color="auto" w:fill="FFFFFF"/>
        <w:spacing w:before="100" w:beforeAutospacing="1" w:after="100" w:afterAutospacing="1" w:line="240" w:lineRule="auto"/>
        <w:ind w:left="225"/>
        <w:jc w:val="both"/>
        <w:rPr>
          <w:rFonts w:ascii="Arial" w:hAnsi="Arial" w:cs="Arial"/>
          <w:color w:val="1A1A1A"/>
          <w:sz w:val="24"/>
          <w:szCs w:val="24"/>
          <w:lang w:eastAsia="it-IT"/>
        </w:rPr>
      </w:pPr>
      <w:r>
        <w:rPr>
          <w:rFonts w:ascii="Arial" w:hAnsi="Arial" w:cs="Arial"/>
          <w:color w:val="1A1A1A"/>
          <w:sz w:val="24"/>
          <w:szCs w:val="24"/>
          <w:lang w:eastAsia="it-IT"/>
        </w:rPr>
        <w:t>18 mesi per il tempo indeterminato e per le trasformazioni,</w:t>
      </w:r>
    </w:p>
    <w:p w:rsidR="00F57EE1" w:rsidRDefault="00F57EE1" w:rsidP="00F57EE1">
      <w:pPr>
        <w:numPr>
          <w:ilvl w:val="0"/>
          <w:numId w:val="1"/>
        </w:numPr>
        <w:shd w:val="clear" w:color="auto" w:fill="FFFFFF"/>
        <w:spacing w:before="100" w:beforeAutospacing="1" w:after="100" w:afterAutospacing="1" w:line="240" w:lineRule="auto"/>
        <w:ind w:left="225"/>
        <w:jc w:val="both"/>
        <w:rPr>
          <w:rFonts w:ascii="Arial" w:hAnsi="Arial" w:cs="Arial"/>
          <w:color w:val="1A1A1A"/>
          <w:sz w:val="24"/>
          <w:szCs w:val="24"/>
          <w:lang w:eastAsia="it-IT"/>
        </w:rPr>
      </w:pPr>
      <w:r>
        <w:rPr>
          <w:rFonts w:ascii="Arial" w:hAnsi="Arial" w:cs="Arial"/>
          <w:color w:val="1A1A1A"/>
          <w:sz w:val="24"/>
          <w:szCs w:val="24"/>
          <w:lang w:eastAsia="it-IT"/>
        </w:rPr>
        <w:t>12 mesi per i contratti a termine (anche in caso di proroga).</w:t>
      </w:r>
    </w:p>
    <w:p w:rsidR="0060603B" w:rsidRDefault="00F57EE1" w:rsidP="00F57EE1">
      <w:pPr>
        <w:shd w:val="clear" w:color="auto" w:fill="FFFFFF"/>
        <w:spacing w:after="225" w:line="240" w:lineRule="auto"/>
        <w:jc w:val="both"/>
      </w:pPr>
      <w:r>
        <w:rPr>
          <w:rFonts w:ascii="Arial" w:hAnsi="Arial" w:cs="Arial"/>
          <w:color w:val="1A1A1A"/>
          <w:sz w:val="24"/>
          <w:szCs w:val="24"/>
          <w:lang w:eastAsia="it-IT"/>
        </w:rPr>
        <w:t>Ecco come si fa il calcolo nel </w:t>
      </w:r>
      <w:r>
        <w:rPr>
          <w:rFonts w:ascii="Arial" w:hAnsi="Arial" w:cs="Arial"/>
          <w:b/>
          <w:bCs/>
          <w:color w:val="1A1A1A"/>
          <w:sz w:val="24"/>
          <w:szCs w:val="24"/>
          <w:lang w:eastAsia="it-IT"/>
        </w:rPr>
        <w:t>caso della trasformazione</w:t>
      </w:r>
      <w:r>
        <w:rPr>
          <w:rFonts w:ascii="Arial" w:hAnsi="Arial" w:cs="Arial"/>
          <w:color w:val="1A1A1A"/>
          <w:sz w:val="24"/>
          <w:szCs w:val="24"/>
          <w:lang w:eastAsia="it-IT"/>
        </w:rPr>
        <w:t>. La regola è che la trasformazione debba avvenire entro la scadenza del precedente beneficio. Quindi, ad esempio, nel caso di trasformazione di un contratto a termine incentivato, con trasformazione al termine del precedente contratto, non spetta nessun incentivo. Se invece la trasformazione è effettuata prima della fine del contratto, allora si applica l’incentivo. Supponiamo che il precedente rapporto fosse di 15 mesi e la trasformazione sia avvenuta nel decimo mese</w:t>
      </w:r>
      <w:r>
        <w:rPr>
          <w:rFonts w:ascii="Arial" w:hAnsi="Arial" w:cs="Arial"/>
          <w:b/>
          <w:bCs/>
          <w:color w:val="1A1A1A"/>
          <w:sz w:val="24"/>
          <w:szCs w:val="24"/>
          <w:lang w:eastAsia="it-IT"/>
        </w:rPr>
        <w:t>,</w:t>
      </w:r>
      <w:r>
        <w:rPr>
          <w:rFonts w:ascii="Arial" w:hAnsi="Arial" w:cs="Arial"/>
          <w:color w:val="1A1A1A"/>
          <w:sz w:val="24"/>
          <w:szCs w:val="24"/>
          <w:lang w:eastAsia="it-IT"/>
        </w:rPr>
        <w:t> l’incentivo si applica fino al 18 mese del complessivo rapporto (ovvero calcolando anche i dieci mesi del contratto a termine). L’incentivo spetta anche nel caso in cui la stessa azienda riassuma un disoccupato che precedentemente era stato un proprio dipendente, purché sussista il requisito dei 12 mesi di disoccupazione. E’ invece escluso nel caso in cui sia effettuata in attuazione di un </w:t>
      </w:r>
      <w:r>
        <w:rPr>
          <w:rFonts w:ascii="Arial" w:hAnsi="Arial" w:cs="Arial"/>
          <w:b/>
          <w:bCs/>
          <w:color w:val="1A1A1A"/>
          <w:sz w:val="24"/>
          <w:szCs w:val="24"/>
          <w:lang w:eastAsia="it-IT"/>
        </w:rPr>
        <w:t>obbligo preesistente</w:t>
      </w:r>
      <w:r>
        <w:rPr>
          <w:rFonts w:ascii="Arial" w:hAnsi="Arial" w:cs="Arial"/>
          <w:color w:val="1A1A1A"/>
          <w:sz w:val="24"/>
          <w:szCs w:val="24"/>
          <w:lang w:eastAsia="it-IT"/>
        </w:rPr>
        <w:t>, derivante dalla legge o dalla contrattazione collettiva. L’incentivo è subordinato a una serie di </w:t>
      </w:r>
      <w:r>
        <w:rPr>
          <w:rFonts w:ascii="Arial" w:hAnsi="Arial" w:cs="Arial"/>
          <w:b/>
          <w:bCs/>
          <w:color w:val="1A1A1A"/>
          <w:sz w:val="24"/>
          <w:szCs w:val="24"/>
          <w:lang w:eastAsia="it-IT"/>
        </w:rPr>
        <w:t>pre-requisiti</w:t>
      </w:r>
      <w:r>
        <w:rPr>
          <w:rFonts w:ascii="Arial" w:hAnsi="Arial" w:cs="Arial"/>
          <w:color w:val="1A1A1A"/>
          <w:sz w:val="24"/>
          <w:szCs w:val="24"/>
          <w:lang w:eastAsia="it-IT"/>
        </w:rPr>
        <w:t> da parte dell’</w:t>
      </w:r>
      <w:r>
        <w:rPr>
          <w:rFonts w:ascii="Arial" w:hAnsi="Arial" w:cs="Arial"/>
          <w:b/>
          <w:bCs/>
          <w:color w:val="1A1A1A"/>
          <w:sz w:val="24"/>
          <w:szCs w:val="24"/>
          <w:lang w:eastAsia="it-IT"/>
        </w:rPr>
        <w:t>azienda</w:t>
      </w:r>
      <w:r>
        <w:rPr>
          <w:rFonts w:ascii="Arial" w:hAnsi="Arial" w:cs="Arial"/>
          <w:color w:val="1A1A1A"/>
          <w:sz w:val="24"/>
          <w:szCs w:val="24"/>
          <w:lang w:eastAsia="it-IT"/>
        </w:rPr>
        <w:t>: degli obblighi contributivi, osservanza delle norme poste a tutela delle condizioni di lavoro, rispetto degli accordi e contratti collettivi nazionali, condizioni generali di compatibilità con il mercato interno.</w:t>
      </w:r>
    </w:p>
    <w:sectPr w:rsidR="0060603B" w:rsidSect="0060603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B2CE0"/>
    <w:multiLevelType w:val="multilevel"/>
    <w:tmpl w:val="8F8A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F57EE1"/>
    <w:rsid w:val="00122B05"/>
    <w:rsid w:val="0060603B"/>
    <w:rsid w:val="00853E82"/>
    <w:rsid w:val="0090523D"/>
    <w:rsid w:val="00F57E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7EE1"/>
    <w:pPr>
      <w:spacing w:after="160" w:line="252" w:lineRule="auto"/>
      <w:jc w:val="left"/>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57EE1"/>
    <w:rPr>
      <w:color w:val="0563C1"/>
      <w:u w:val="single"/>
    </w:rPr>
  </w:style>
</w:styles>
</file>

<file path=word/webSettings.xml><?xml version="1.0" encoding="utf-8"?>
<w:webSettings xmlns:r="http://schemas.openxmlformats.org/officeDocument/2006/relationships" xmlns:w="http://schemas.openxmlformats.org/wordprocessingml/2006/main">
  <w:divs>
    <w:div w:id="132050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i.it/economia/lavoro/news/62738/incentivi-per-chi-assume-lavoratori-over-50-sconto-inps-sui-contributi.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pcnuovo</dc:creator>
  <cp:lastModifiedBy>pcnuovo</cp:lastModifiedBy>
  <cp:revision>1</cp:revision>
  <dcterms:created xsi:type="dcterms:W3CDTF">2017-02-02T10:52:00Z</dcterms:created>
  <dcterms:modified xsi:type="dcterms:W3CDTF">2017-02-02T10:53:00Z</dcterms:modified>
</cp:coreProperties>
</file>