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2F9" w:rsidRDefault="00A622F9" w:rsidP="00A622F9">
      <w:pPr>
        <w:shd w:val="clear" w:color="auto" w:fill="FFFFFF"/>
        <w:spacing w:after="150"/>
        <w:jc w:val="center"/>
        <w:rPr>
          <w:rFonts w:ascii="Arial" w:hAnsi="Arial" w:cs="Arial"/>
          <w:b/>
          <w:bCs/>
          <w:color w:val="222222"/>
          <w:sz w:val="48"/>
          <w:szCs w:val="48"/>
          <w:lang w:eastAsia="it-IT"/>
        </w:rPr>
      </w:pPr>
      <w:r>
        <w:rPr>
          <w:rFonts w:ascii="Arial" w:hAnsi="Arial" w:cs="Arial"/>
          <w:b/>
          <w:bCs/>
          <w:color w:val="222222"/>
          <w:sz w:val="48"/>
          <w:szCs w:val="48"/>
          <w:lang w:eastAsia="it-IT"/>
        </w:rPr>
        <w:t>PENSIONI</w:t>
      </w:r>
    </w:p>
    <w:p w:rsidR="00A622F9" w:rsidRDefault="00A622F9" w:rsidP="00A622F9">
      <w:pPr>
        <w:shd w:val="clear" w:color="auto" w:fill="FFFFFF"/>
        <w:spacing w:after="150"/>
        <w:jc w:val="both"/>
        <w:rPr>
          <w:rFonts w:ascii="Arial" w:hAnsi="Arial" w:cs="Arial"/>
          <w:b/>
          <w:bCs/>
          <w:color w:val="222222"/>
          <w:sz w:val="28"/>
          <w:szCs w:val="28"/>
          <w:lang w:eastAsia="it-IT"/>
        </w:rPr>
      </w:pPr>
      <w:r>
        <w:rPr>
          <w:rFonts w:ascii="Arial" w:hAnsi="Arial" w:cs="Arial"/>
          <w:b/>
          <w:bCs/>
          <w:color w:val="222222"/>
          <w:sz w:val="28"/>
          <w:szCs w:val="28"/>
          <w:lang w:eastAsia="it-IT"/>
        </w:rPr>
        <w:t xml:space="preserve">Cari Colleghi/e, </w:t>
      </w:r>
    </w:p>
    <w:p w:rsidR="00A622F9" w:rsidRDefault="00A622F9" w:rsidP="00A622F9">
      <w:pPr>
        <w:shd w:val="clear" w:color="auto" w:fill="FFFFFF"/>
        <w:spacing w:after="150"/>
        <w:jc w:val="both"/>
        <w:rPr>
          <w:rFonts w:ascii="Arial" w:hAnsi="Arial" w:cs="Arial"/>
          <w:b/>
          <w:bCs/>
          <w:color w:val="222222"/>
          <w:sz w:val="28"/>
          <w:szCs w:val="28"/>
          <w:lang w:eastAsia="it-IT"/>
        </w:rPr>
      </w:pPr>
      <w:r>
        <w:rPr>
          <w:rFonts w:ascii="Arial" w:hAnsi="Arial" w:cs="Arial"/>
          <w:b/>
          <w:bCs/>
          <w:color w:val="222222"/>
          <w:sz w:val="28"/>
          <w:szCs w:val="28"/>
          <w:lang w:eastAsia="it-IT"/>
        </w:rPr>
        <w:t>ecco la riforma delle pensioni che aspettavamo. Si tratta di far confluire quanto abbiamo versato all’ENPAF sui contributi già versati all’INPS, per ottenere una pensione più vantaggiosa e più decente. Vi ricordo che Noi dell’ASSOFANT di Salerno già chiedemmo in passato questa ricongiunzione/totalizzazione, ma ci dissero che non era possibile (ENPAF). Da quest’anno però è previsto il cumulo gratuito dei contributi, con l’inclusione dei professionisti nella platea dei beneficiari. Per chi di Voi già la sta facendo è prevista anche la restituzione dei contributi già versati. La ricongiunzione comunque è sempre onerosa, ma anche vantaggiosa, mentre la totalizzazione va per intenderci a chi ha più periodi ENPAF che INPS. Comunque nei prossimi giorni Vi dirò anche con quale modello dell’INPS poter richiedere la ricongiunzione per togliere i contributi dall’ENPAF e traghettarli alla cassa dell’INPS. Per tutto quanto resto a Vs. disposizione.</w:t>
      </w:r>
    </w:p>
    <w:p w:rsidR="00A622F9" w:rsidRDefault="00A622F9" w:rsidP="00A622F9">
      <w:pPr>
        <w:shd w:val="clear" w:color="auto" w:fill="FFFFFF"/>
        <w:spacing w:after="150"/>
        <w:jc w:val="both"/>
        <w:rPr>
          <w:rFonts w:ascii="Arial" w:hAnsi="Arial" w:cs="Arial"/>
          <w:b/>
          <w:bCs/>
          <w:color w:val="222222"/>
          <w:sz w:val="28"/>
          <w:szCs w:val="28"/>
          <w:lang w:eastAsia="it-IT"/>
        </w:rPr>
      </w:pPr>
      <w:r>
        <w:rPr>
          <w:rFonts w:ascii="Arial" w:hAnsi="Arial" w:cs="Arial"/>
          <w:b/>
          <w:bCs/>
          <w:color w:val="222222"/>
          <w:sz w:val="28"/>
          <w:szCs w:val="28"/>
          <w:lang w:eastAsia="it-IT"/>
        </w:rPr>
        <w:t xml:space="preserve">                                                                           Il Vice Presidente </w:t>
      </w:r>
      <w:proofErr w:type="spellStart"/>
      <w:r>
        <w:rPr>
          <w:rFonts w:ascii="Arial" w:hAnsi="Arial" w:cs="Arial"/>
          <w:b/>
          <w:bCs/>
          <w:color w:val="222222"/>
          <w:sz w:val="28"/>
          <w:szCs w:val="28"/>
          <w:lang w:eastAsia="it-IT"/>
        </w:rPr>
        <w:t>OdF</w:t>
      </w:r>
      <w:proofErr w:type="spellEnd"/>
    </w:p>
    <w:p w:rsidR="00A622F9" w:rsidRDefault="00A622F9" w:rsidP="00A622F9">
      <w:pPr>
        <w:shd w:val="clear" w:color="auto" w:fill="FFFFFF"/>
        <w:spacing w:after="150"/>
        <w:jc w:val="both"/>
        <w:rPr>
          <w:rFonts w:ascii="Arial" w:hAnsi="Arial" w:cs="Arial"/>
          <w:b/>
          <w:bCs/>
          <w:color w:val="222222"/>
          <w:sz w:val="28"/>
          <w:szCs w:val="28"/>
          <w:lang w:eastAsia="it-IT"/>
        </w:rPr>
      </w:pPr>
      <w:r>
        <w:rPr>
          <w:rFonts w:ascii="Arial" w:hAnsi="Arial" w:cs="Arial"/>
          <w:b/>
          <w:bCs/>
          <w:color w:val="222222"/>
          <w:sz w:val="28"/>
          <w:szCs w:val="28"/>
          <w:lang w:eastAsia="it-IT"/>
        </w:rPr>
        <w:t>                                                                             Luisanna Pellecchia</w:t>
      </w:r>
    </w:p>
    <w:p w:rsidR="00A622F9" w:rsidRDefault="00A622F9" w:rsidP="00A622F9">
      <w:pPr>
        <w:shd w:val="clear" w:color="auto" w:fill="FFFFFF"/>
        <w:spacing w:after="150"/>
        <w:jc w:val="both"/>
        <w:rPr>
          <w:rFonts w:ascii="Arial" w:hAnsi="Arial" w:cs="Arial"/>
          <w:b/>
          <w:bCs/>
          <w:color w:val="222222"/>
          <w:sz w:val="28"/>
          <w:szCs w:val="28"/>
          <w:lang w:eastAsia="it-IT"/>
        </w:rPr>
      </w:pPr>
    </w:p>
    <w:p w:rsidR="00A622F9" w:rsidRDefault="00A622F9" w:rsidP="00A622F9">
      <w:pPr>
        <w:shd w:val="clear" w:color="auto" w:fill="FFFFFF"/>
        <w:spacing w:after="150"/>
        <w:jc w:val="both"/>
        <w:rPr>
          <w:rFonts w:ascii="Arial" w:hAnsi="Arial" w:cs="Arial"/>
          <w:b/>
          <w:bCs/>
          <w:color w:val="222222"/>
          <w:sz w:val="44"/>
          <w:szCs w:val="44"/>
          <w:lang w:eastAsia="it-IT"/>
        </w:rPr>
      </w:pPr>
      <w:r>
        <w:rPr>
          <w:rFonts w:ascii="Arial" w:hAnsi="Arial" w:cs="Arial"/>
          <w:b/>
          <w:bCs/>
          <w:color w:val="222222"/>
          <w:sz w:val="44"/>
          <w:szCs w:val="44"/>
          <w:lang w:eastAsia="it-IT"/>
        </w:rPr>
        <w:t>Riforma Pensioni, novità per i professionisti</w:t>
      </w:r>
    </w:p>
    <w:p w:rsidR="00A622F9" w:rsidRDefault="00A622F9" w:rsidP="00A622F9">
      <w:pPr>
        <w:shd w:val="clear" w:color="auto" w:fill="FFFFFF"/>
        <w:spacing w:after="225"/>
        <w:jc w:val="both"/>
        <w:rPr>
          <w:rFonts w:ascii="Arial" w:hAnsi="Arial" w:cs="Arial"/>
          <w:color w:val="1A1A1A"/>
          <w:sz w:val="24"/>
          <w:szCs w:val="24"/>
          <w:lang w:eastAsia="it-IT"/>
        </w:rPr>
      </w:pPr>
      <w:r>
        <w:rPr>
          <w:rFonts w:ascii="Arial" w:hAnsi="Arial" w:cs="Arial"/>
          <w:color w:val="1A1A1A"/>
          <w:sz w:val="24"/>
          <w:szCs w:val="24"/>
          <w:highlight w:val="yellow"/>
          <w:lang w:eastAsia="it-IT"/>
        </w:rPr>
        <w:t>Per i professionisti iscritti alle casse previdenziali di categoria l’unica novità 2017 della  </w:t>
      </w:r>
      <w:r>
        <w:rPr>
          <w:rFonts w:ascii="Arial" w:hAnsi="Arial" w:cs="Arial"/>
          <w:b/>
          <w:bCs/>
          <w:color w:val="1A1A1A"/>
          <w:sz w:val="24"/>
          <w:szCs w:val="24"/>
          <w:highlight w:val="yellow"/>
          <w:lang w:eastAsia="it-IT"/>
        </w:rPr>
        <w:t>Riforma Pensioni</w:t>
      </w:r>
      <w:r>
        <w:rPr>
          <w:rFonts w:ascii="Arial" w:hAnsi="Arial" w:cs="Arial"/>
          <w:color w:val="1A1A1A"/>
          <w:sz w:val="24"/>
          <w:szCs w:val="24"/>
          <w:highlight w:val="yellow"/>
          <w:lang w:eastAsia="it-IT"/>
        </w:rPr>
        <w:t> contenuta in Legge di Stabilità,  riguarda la possibilità di</w:t>
      </w:r>
      <w:r>
        <w:rPr>
          <w:rFonts w:ascii="Arial" w:hAnsi="Arial" w:cs="Arial"/>
          <w:color w:val="1A1A1A"/>
          <w:sz w:val="24"/>
          <w:szCs w:val="24"/>
          <w:lang w:eastAsia="it-IT"/>
        </w:rPr>
        <w:t> </w:t>
      </w:r>
      <w:r>
        <w:rPr>
          <w:rFonts w:ascii="Arial" w:hAnsi="Arial" w:cs="Arial"/>
          <w:b/>
          <w:bCs/>
          <w:color w:val="1A1A1A"/>
          <w:sz w:val="24"/>
          <w:szCs w:val="24"/>
          <w:highlight w:val="yellow"/>
          <w:lang w:eastAsia="it-IT"/>
        </w:rPr>
        <w:t>cumulo gratuito dei contributi</w:t>
      </w:r>
      <w:r>
        <w:rPr>
          <w:rFonts w:ascii="Arial" w:hAnsi="Arial" w:cs="Arial"/>
          <w:color w:val="1A1A1A"/>
          <w:sz w:val="24"/>
          <w:szCs w:val="24"/>
          <w:lang w:eastAsia="it-IT"/>
        </w:rPr>
        <w:t>, mentre invece non c’è il diritto all’anticipo pensionistico </w:t>
      </w:r>
      <w:r>
        <w:rPr>
          <w:rFonts w:ascii="Arial" w:hAnsi="Arial" w:cs="Arial"/>
          <w:b/>
          <w:bCs/>
          <w:color w:val="1A1A1A"/>
          <w:sz w:val="24"/>
          <w:szCs w:val="24"/>
          <w:lang w:eastAsia="it-IT"/>
        </w:rPr>
        <w:t>APE</w:t>
      </w:r>
      <w:r>
        <w:rPr>
          <w:rFonts w:ascii="Arial" w:hAnsi="Arial" w:cs="Arial"/>
          <w:color w:val="1A1A1A"/>
          <w:sz w:val="24"/>
          <w:szCs w:val="24"/>
          <w:lang w:eastAsia="it-IT"/>
        </w:rPr>
        <w:t>. Vediamo in dettaglio le misure previdenziali in manovra economica per questa categoria di lavoratori.</w:t>
      </w:r>
    </w:p>
    <w:p w:rsidR="00A622F9" w:rsidRDefault="00A622F9" w:rsidP="00A622F9">
      <w:pPr>
        <w:shd w:val="clear" w:color="auto" w:fill="FFFFFF"/>
        <w:spacing w:after="150"/>
        <w:jc w:val="both"/>
        <w:rPr>
          <w:rFonts w:ascii="Arial" w:hAnsi="Arial" w:cs="Arial"/>
          <w:b/>
          <w:bCs/>
          <w:color w:val="1A1A1A"/>
          <w:sz w:val="32"/>
          <w:szCs w:val="32"/>
          <w:lang w:eastAsia="it-IT"/>
        </w:rPr>
      </w:pPr>
      <w:r>
        <w:rPr>
          <w:rFonts w:ascii="Arial" w:hAnsi="Arial" w:cs="Arial"/>
          <w:b/>
          <w:bCs/>
          <w:color w:val="1A1A1A"/>
          <w:sz w:val="32"/>
          <w:szCs w:val="32"/>
          <w:lang w:eastAsia="it-IT"/>
        </w:rPr>
        <w:t>Cumulo gratuito</w:t>
      </w:r>
    </w:p>
    <w:p w:rsidR="00A622F9" w:rsidRDefault="00A622F9" w:rsidP="00A622F9">
      <w:pPr>
        <w:shd w:val="clear" w:color="auto" w:fill="FFFFFF"/>
        <w:spacing w:after="225"/>
        <w:jc w:val="both"/>
        <w:rPr>
          <w:rFonts w:ascii="Arial" w:hAnsi="Arial" w:cs="Arial"/>
          <w:color w:val="1A1A1A"/>
          <w:sz w:val="24"/>
          <w:szCs w:val="24"/>
          <w:lang w:eastAsia="it-IT"/>
        </w:rPr>
      </w:pPr>
      <w:r>
        <w:rPr>
          <w:rFonts w:ascii="Arial" w:hAnsi="Arial" w:cs="Arial"/>
          <w:color w:val="1A1A1A"/>
          <w:sz w:val="24"/>
          <w:szCs w:val="24"/>
          <w:lang w:eastAsia="it-IT"/>
        </w:rPr>
        <w:t>Il </w:t>
      </w:r>
      <w:r>
        <w:rPr>
          <w:rFonts w:ascii="Arial" w:hAnsi="Arial" w:cs="Arial"/>
          <w:b/>
          <w:bCs/>
          <w:color w:val="1A1A1A"/>
          <w:sz w:val="24"/>
          <w:szCs w:val="24"/>
          <w:lang w:eastAsia="it-IT"/>
        </w:rPr>
        <w:t>cumulo</w:t>
      </w:r>
      <w:r>
        <w:rPr>
          <w:rFonts w:ascii="Arial" w:hAnsi="Arial" w:cs="Arial"/>
          <w:color w:val="1A1A1A"/>
          <w:sz w:val="24"/>
          <w:szCs w:val="24"/>
          <w:lang w:eastAsia="it-IT"/>
        </w:rPr>
        <w:t> </w:t>
      </w:r>
      <w:r>
        <w:rPr>
          <w:rFonts w:ascii="Arial" w:hAnsi="Arial" w:cs="Arial"/>
          <w:b/>
          <w:bCs/>
          <w:color w:val="1A1A1A"/>
          <w:sz w:val="24"/>
          <w:szCs w:val="24"/>
          <w:lang w:eastAsia="it-IT"/>
        </w:rPr>
        <w:t>pensioni</w:t>
      </w:r>
      <w:r>
        <w:rPr>
          <w:rFonts w:ascii="Arial" w:hAnsi="Arial" w:cs="Arial"/>
          <w:color w:val="1A1A1A"/>
          <w:sz w:val="24"/>
          <w:szCs w:val="24"/>
          <w:lang w:eastAsia="it-IT"/>
        </w:rPr>
        <w:t> rappresenta una </w:t>
      </w:r>
      <w:r>
        <w:rPr>
          <w:rFonts w:ascii="Arial" w:hAnsi="Arial" w:cs="Arial"/>
          <w:b/>
          <w:bCs/>
          <w:color w:val="1A1A1A"/>
          <w:sz w:val="24"/>
          <w:szCs w:val="24"/>
          <w:lang w:eastAsia="it-IT"/>
        </w:rPr>
        <w:t>novità doppia</w:t>
      </w:r>
      <w:r>
        <w:rPr>
          <w:rFonts w:ascii="Arial" w:hAnsi="Arial" w:cs="Arial"/>
          <w:color w:val="1A1A1A"/>
          <w:sz w:val="24"/>
          <w:szCs w:val="24"/>
          <w:lang w:eastAsia="it-IT"/>
        </w:rPr>
        <w:t>: la prima è l’</w:t>
      </w:r>
      <w:r>
        <w:rPr>
          <w:rFonts w:ascii="Arial" w:hAnsi="Arial" w:cs="Arial"/>
          <w:b/>
          <w:bCs/>
          <w:color w:val="1A1A1A"/>
          <w:sz w:val="24"/>
          <w:szCs w:val="24"/>
          <w:lang w:eastAsia="it-IT"/>
        </w:rPr>
        <w:t xml:space="preserve">inclusione </w:t>
      </w:r>
      <w:r>
        <w:rPr>
          <w:rFonts w:ascii="Arial" w:hAnsi="Arial" w:cs="Arial"/>
          <w:b/>
          <w:bCs/>
          <w:color w:val="1A1A1A"/>
          <w:sz w:val="24"/>
          <w:szCs w:val="24"/>
          <w:highlight w:val="yellow"/>
          <w:lang w:eastAsia="it-IT"/>
        </w:rPr>
        <w:t>dei professionisti</w:t>
      </w:r>
      <w:r>
        <w:rPr>
          <w:rFonts w:ascii="Arial" w:hAnsi="Arial" w:cs="Arial"/>
          <w:color w:val="1A1A1A"/>
          <w:sz w:val="24"/>
          <w:szCs w:val="24"/>
          <w:highlight w:val="yellow"/>
          <w:lang w:eastAsia="it-IT"/>
        </w:rPr>
        <w:t> nella platea dei beneficiari, che prima includeva solo dipendenti pubblici e privati, autonomi e iscritti alla gestione separata; la seconda è l’estensione del cumulo pro quota dei periodi contributivi prima limitato ai soli fini della </w:t>
      </w:r>
      <w:r>
        <w:rPr>
          <w:rFonts w:ascii="Arial" w:hAnsi="Arial" w:cs="Arial"/>
          <w:b/>
          <w:bCs/>
          <w:color w:val="1A1A1A"/>
          <w:sz w:val="24"/>
          <w:szCs w:val="24"/>
          <w:highlight w:val="yellow"/>
          <w:lang w:eastAsia="it-IT"/>
        </w:rPr>
        <w:t>pensione di vecchiaia,</w:t>
      </w:r>
      <w:r>
        <w:rPr>
          <w:rFonts w:ascii="Arial" w:hAnsi="Arial" w:cs="Arial"/>
          <w:color w:val="1A1A1A"/>
          <w:sz w:val="24"/>
          <w:szCs w:val="24"/>
          <w:highlight w:val="yellow"/>
          <w:lang w:eastAsia="it-IT"/>
        </w:rPr>
        <w:t> anche a quelli della </w:t>
      </w:r>
      <w:r>
        <w:rPr>
          <w:rFonts w:ascii="Arial" w:hAnsi="Arial" w:cs="Arial"/>
          <w:b/>
          <w:bCs/>
          <w:color w:val="1A1A1A"/>
          <w:sz w:val="24"/>
          <w:szCs w:val="24"/>
          <w:highlight w:val="yellow"/>
          <w:lang w:eastAsia="it-IT"/>
        </w:rPr>
        <w:t>pensione anticipata</w:t>
      </w:r>
      <w:r>
        <w:rPr>
          <w:rFonts w:ascii="Arial" w:hAnsi="Arial" w:cs="Arial"/>
          <w:color w:val="1A1A1A"/>
          <w:sz w:val="24"/>
          <w:szCs w:val="24"/>
          <w:highlight w:val="yellow"/>
          <w:lang w:eastAsia="it-IT"/>
        </w:rPr>
        <w:t>, per tutti quanti</w:t>
      </w:r>
      <w:r>
        <w:rPr>
          <w:rFonts w:ascii="Arial" w:hAnsi="Arial" w:cs="Arial"/>
          <w:color w:val="1A1A1A"/>
          <w:sz w:val="24"/>
          <w:szCs w:val="24"/>
          <w:lang w:eastAsia="it-IT"/>
        </w:rPr>
        <w:t xml:space="preserve">. </w:t>
      </w:r>
      <w:r>
        <w:rPr>
          <w:rFonts w:ascii="Arial" w:hAnsi="Arial" w:cs="Arial"/>
          <w:color w:val="1A1A1A"/>
          <w:sz w:val="24"/>
          <w:szCs w:val="24"/>
          <w:highlight w:val="yellow"/>
          <w:lang w:eastAsia="it-IT"/>
        </w:rPr>
        <w:t>Dal 2017, quindi, i professionisti possono cumulare gratuitamente contributi versati alla cassa professionale di appartenenza e ad altre gestioni previdenziali per raggiungere prima la pensione, che viene calcolata pro quota in base alle regole delle diverse gestioni.</w:t>
      </w:r>
    </w:p>
    <w:p w:rsidR="00A622F9" w:rsidRDefault="00A622F9" w:rsidP="00A622F9">
      <w:pPr>
        <w:shd w:val="clear" w:color="auto" w:fill="FFFFFF"/>
        <w:spacing w:after="225"/>
        <w:jc w:val="both"/>
        <w:rPr>
          <w:rFonts w:ascii="Arial" w:hAnsi="Arial" w:cs="Arial"/>
          <w:b/>
          <w:bCs/>
          <w:color w:val="1A1A1A"/>
          <w:sz w:val="27"/>
          <w:szCs w:val="27"/>
          <w:lang w:eastAsia="it-IT"/>
        </w:rPr>
      </w:pPr>
      <w:hyperlink r:id="rId4" w:tgtFrame="_blank" w:tooltip="Pensione: cumulo gratuito per tutti" w:history="1">
        <w:r>
          <w:rPr>
            <w:rStyle w:val="Collegamentoipertestuale"/>
            <w:rFonts w:ascii="Arial" w:hAnsi="Arial" w:cs="Arial"/>
            <w:b/>
            <w:bCs/>
            <w:color w:val="auto"/>
            <w:sz w:val="27"/>
            <w:szCs w:val="27"/>
            <w:lang w:eastAsia="it-IT"/>
          </w:rPr>
          <w:t>Pensione: cumulo gratuito per tutti</w:t>
        </w:r>
      </w:hyperlink>
    </w:p>
    <w:p w:rsidR="00A622F9" w:rsidRDefault="00A622F9" w:rsidP="00A622F9">
      <w:pPr>
        <w:shd w:val="clear" w:color="auto" w:fill="FFFFFF"/>
        <w:spacing w:after="225"/>
        <w:jc w:val="both"/>
        <w:rPr>
          <w:rFonts w:ascii="Arial" w:hAnsi="Arial" w:cs="Arial"/>
          <w:color w:val="1A1A1A"/>
          <w:sz w:val="24"/>
          <w:szCs w:val="24"/>
          <w:lang w:eastAsia="it-IT"/>
        </w:rPr>
      </w:pPr>
      <w:r>
        <w:rPr>
          <w:rFonts w:ascii="Arial" w:hAnsi="Arial" w:cs="Arial"/>
          <w:color w:val="1A1A1A"/>
          <w:sz w:val="24"/>
          <w:szCs w:val="24"/>
          <w:lang w:eastAsia="it-IT"/>
        </w:rPr>
        <w:t>L’</w:t>
      </w:r>
      <w:r>
        <w:rPr>
          <w:rFonts w:ascii="Arial" w:hAnsi="Arial" w:cs="Arial"/>
          <w:b/>
          <w:bCs/>
          <w:color w:val="1A1A1A"/>
          <w:sz w:val="24"/>
          <w:szCs w:val="24"/>
          <w:lang w:eastAsia="it-IT"/>
        </w:rPr>
        <w:t>armonizzazione</w:t>
      </w:r>
      <w:r>
        <w:rPr>
          <w:rFonts w:ascii="Arial" w:hAnsi="Arial" w:cs="Arial"/>
          <w:color w:val="1A1A1A"/>
          <w:sz w:val="24"/>
          <w:szCs w:val="24"/>
          <w:lang w:eastAsia="it-IT"/>
        </w:rPr>
        <w:t> pone una serie di </w:t>
      </w:r>
      <w:r>
        <w:rPr>
          <w:rFonts w:ascii="Arial" w:hAnsi="Arial" w:cs="Arial"/>
          <w:b/>
          <w:bCs/>
          <w:color w:val="1A1A1A"/>
          <w:sz w:val="24"/>
          <w:szCs w:val="24"/>
          <w:lang w:eastAsia="it-IT"/>
        </w:rPr>
        <w:t>questioni</w:t>
      </w:r>
      <w:r>
        <w:rPr>
          <w:rFonts w:ascii="Arial" w:hAnsi="Arial" w:cs="Arial"/>
          <w:color w:val="1A1A1A"/>
          <w:sz w:val="24"/>
          <w:szCs w:val="24"/>
          <w:lang w:eastAsia="it-IT"/>
        </w:rPr>
        <w:t xml:space="preserve">: </w:t>
      </w:r>
      <w:r>
        <w:rPr>
          <w:rFonts w:ascii="Arial" w:hAnsi="Arial" w:cs="Arial"/>
          <w:color w:val="1A1A1A"/>
          <w:sz w:val="24"/>
          <w:szCs w:val="24"/>
          <w:highlight w:val="yellow"/>
          <w:lang w:eastAsia="it-IT"/>
        </w:rPr>
        <w:t>le casse dei professionisti, ad esempio, prevedono requisiti diversi per il raggiungimento della pensione di vecchiaia o anticipata.</w:t>
      </w:r>
      <w:r>
        <w:rPr>
          <w:rFonts w:ascii="Arial" w:hAnsi="Arial" w:cs="Arial"/>
          <w:color w:val="1A1A1A"/>
          <w:sz w:val="24"/>
          <w:szCs w:val="24"/>
          <w:lang w:eastAsia="it-IT"/>
        </w:rPr>
        <w:t xml:space="preserve"> La regola generale, resta quella prevista dal </w:t>
      </w:r>
      <w:r>
        <w:rPr>
          <w:rFonts w:ascii="Arial" w:hAnsi="Arial" w:cs="Arial"/>
          <w:i/>
          <w:iCs/>
          <w:color w:val="1A1A1A"/>
          <w:sz w:val="24"/>
          <w:szCs w:val="24"/>
          <w:highlight w:val="yellow"/>
          <w:lang w:eastAsia="it-IT"/>
        </w:rPr>
        <w:t>comma 241 della legge 228/2012</w:t>
      </w:r>
      <w:r>
        <w:rPr>
          <w:rFonts w:ascii="Arial" w:hAnsi="Arial" w:cs="Arial"/>
          <w:color w:val="1A1A1A"/>
          <w:sz w:val="24"/>
          <w:szCs w:val="24"/>
          <w:highlight w:val="yellow"/>
          <w:lang w:eastAsia="it-IT"/>
        </w:rPr>
        <w:t>, che ha istituito il cumulo, in base alla quale il diritto alla pensione di vecchiaia:</w:t>
      </w:r>
    </w:p>
    <w:p w:rsidR="00A622F9" w:rsidRDefault="00A622F9" w:rsidP="00A622F9">
      <w:pPr>
        <w:shd w:val="clear" w:color="auto" w:fill="F9F9F9"/>
        <w:jc w:val="both"/>
        <w:rPr>
          <w:rFonts w:ascii="Arial" w:hAnsi="Arial" w:cs="Arial"/>
          <w:i/>
          <w:iCs/>
          <w:color w:val="1A1A1A"/>
          <w:sz w:val="24"/>
          <w:szCs w:val="24"/>
          <w:lang w:eastAsia="it-IT"/>
        </w:rPr>
      </w:pPr>
      <w:r>
        <w:rPr>
          <w:rFonts w:ascii="Arial" w:hAnsi="Arial" w:cs="Arial"/>
          <w:i/>
          <w:iCs/>
          <w:color w:val="1A1A1A"/>
          <w:sz w:val="24"/>
          <w:szCs w:val="24"/>
          <w:lang w:eastAsia="it-IT"/>
        </w:rPr>
        <w:lastRenderedPageBreak/>
        <w:t>«è conseguito in presenza dei requisiti anagrafici e di contribuzione più elevati fra quelli previsti dai rispettivi ordinamenti che disciplinano le gestioni interessate».</w:t>
      </w:r>
    </w:p>
    <w:p w:rsidR="00A622F9" w:rsidRDefault="00A622F9" w:rsidP="00A622F9">
      <w:pPr>
        <w:shd w:val="clear" w:color="auto" w:fill="FFFFFF"/>
        <w:spacing w:after="225"/>
        <w:jc w:val="both"/>
        <w:rPr>
          <w:rFonts w:ascii="Arial" w:hAnsi="Arial" w:cs="Arial"/>
          <w:color w:val="1A1A1A"/>
          <w:sz w:val="24"/>
          <w:szCs w:val="24"/>
          <w:lang w:eastAsia="it-IT"/>
        </w:rPr>
      </w:pPr>
      <w:r>
        <w:rPr>
          <w:rFonts w:ascii="Arial" w:hAnsi="Arial" w:cs="Arial"/>
          <w:color w:val="1A1A1A"/>
          <w:sz w:val="24"/>
          <w:szCs w:val="24"/>
          <w:highlight w:val="yellow"/>
          <w:lang w:eastAsia="it-IT"/>
        </w:rPr>
        <w:t>Significa che il diritto alla pensione non si consegue necessariamente in base alle regole INPS e forme sostitutive ma, nel caso in cui la cassa professionale di appartenenza richieda </w:t>
      </w:r>
      <w:r>
        <w:rPr>
          <w:rFonts w:ascii="Arial" w:hAnsi="Arial" w:cs="Arial"/>
          <w:b/>
          <w:bCs/>
          <w:color w:val="1A1A1A"/>
          <w:sz w:val="24"/>
          <w:szCs w:val="24"/>
          <w:highlight w:val="yellow"/>
          <w:lang w:eastAsia="it-IT"/>
        </w:rPr>
        <w:t>requisiti</w:t>
      </w:r>
      <w:r>
        <w:rPr>
          <w:rFonts w:ascii="Arial" w:hAnsi="Arial" w:cs="Arial"/>
          <w:color w:val="1A1A1A"/>
          <w:sz w:val="24"/>
          <w:szCs w:val="24"/>
          <w:highlight w:val="yellow"/>
          <w:lang w:eastAsia="it-IT"/>
        </w:rPr>
        <w:t> più stringenti, valgono questi ultimi</w:t>
      </w:r>
      <w:r>
        <w:rPr>
          <w:rFonts w:ascii="Arial" w:hAnsi="Arial" w:cs="Arial"/>
          <w:color w:val="1A1A1A"/>
          <w:sz w:val="24"/>
          <w:szCs w:val="24"/>
          <w:lang w:eastAsia="it-IT"/>
        </w:rPr>
        <w:t xml:space="preserve">. Tendenzialmente (ma bisogna sempre verificare) sono più severi i paletti previsti dalla Legge </w:t>
      </w:r>
      <w:proofErr w:type="spellStart"/>
      <w:r>
        <w:rPr>
          <w:rFonts w:ascii="Arial" w:hAnsi="Arial" w:cs="Arial"/>
          <w:color w:val="1A1A1A"/>
          <w:sz w:val="24"/>
          <w:szCs w:val="24"/>
          <w:lang w:eastAsia="it-IT"/>
        </w:rPr>
        <w:t>Fornero</w:t>
      </w:r>
      <w:proofErr w:type="spellEnd"/>
      <w:r>
        <w:rPr>
          <w:rFonts w:ascii="Arial" w:hAnsi="Arial" w:cs="Arial"/>
          <w:color w:val="1A1A1A"/>
          <w:sz w:val="24"/>
          <w:szCs w:val="24"/>
          <w:lang w:eastAsia="it-IT"/>
        </w:rPr>
        <w:t xml:space="preserve"> per le forme di assicurazione generale obbligatoria.</w:t>
      </w:r>
    </w:p>
    <w:p w:rsidR="00A622F9" w:rsidRDefault="00A622F9" w:rsidP="00A622F9">
      <w:pPr>
        <w:shd w:val="clear" w:color="auto" w:fill="FFFFFF"/>
        <w:spacing w:after="225"/>
        <w:jc w:val="both"/>
        <w:rPr>
          <w:rFonts w:ascii="Arial" w:hAnsi="Arial" w:cs="Arial"/>
          <w:i/>
          <w:iCs/>
          <w:color w:val="1A1A1A"/>
          <w:sz w:val="24"/>
          <w:szCs w:val="24"/>
          <w:u w:val="single"/>
          <w:lang w:eastAsia="it-IT"/>
        </w:rPr>
      </w:pPr>
      <w:r>
        <w:rPr>
          <w:rFonts w:ascii="Arial" w:hAnsi="Arial" w:cs="Arial"/>
          <w:i/>
          <w:iCs/>
          <w:color w:val="1A1A1A"/>
          <w:sz w:val="24"/>
          <w:szCs w:val="24"/>
          <w:u w:val="single"/>
          <w:lang w:eastAsia="it-IT"/>
        </w:rPr>
        <w:t>I professionisti sono invece </w:t>
      </w:r>
      <w:r>
        <w:rPr>
          <w:rFonts w:ascii="Arial" w:hAnsi="Arial" w:cs="Arial"/>
          <w:b/>
          <w:bCs/>
          <w:i/>
          <w:iCs/>
          <w:color w:val="1A1A1A"/>
          <w:sz w:val="24"/>
          <w:szCs w:val="24"/>
          <w:u w:val="single"/>
          <w:lang w:eastAsia="it-IT"/>
        </w:rPr>
        <w:t>esclusi</w:t>
      </w:r>
      <w:r>
        <w:rPr>
          <w:rFonts w:ascii="Arial" w:hAnsi="Arial" w:cs="Arial"/>
          <w:i/>
          <w:iCs/>
          <w:color w:val="1A1A1A"/>
          <w:sz w:val="24"/>
          <w:szCs w:val="24"/>
          <w:u w:val="single"/>
          <w:lang w:eastAsia="it-IT"/>
        </w:rPr>
        <w:t> dall’anticipo pensionistico</w:t>
      </w:r>
      <w:r>
        <w:rPr>
          <w:rFonts w:ascii="Arial" w:hAnsi="Arial" w:cs="Arial"/>
          <w:b/>
          <w:bCs/>
          <w:i/>
          <w:iCs/>
          <w:color w:val="1A1A1A"/>
          <w:sz w:val="24"/>
          <w:szCs w:val="24"/>
          <w:u w:val="single"/>
          <w:lang w:eastAsia="it-IT"/>
        </w:rPr>
        <w:t> APE</w:t>
      </w:r>
      <w:r>
        <w:rPr>
          <w:rFonts w:ascii="Arial" w:hAnsi="Arial" w:cs="Arial"/>
          <w:i/>
          <w:iCs/>
          <w:color w:val="1A1A1A"/>
          <w:sz w:val="24"/>
          <w:szCs w:val="24"/>
          <w:u w:val="single"/>
          <w:lang w:eastAsia="it-IT"/>
        </w:rPr>
        <w:t>, quindi non possono andare in pensione a 63 anni chiedendo il finanziamento e poi restituendo l’importo a rate con la maturazione della pensione, non hanno diritto alla APE sociale, le lavoratrici non hanno diritto all’Opzione Donna, non hanno i nuovi benefici previsti per i lavoratori precoci.</w:t>
      </w:r>
    </w:p>
    <w:p w:rsidR="00A622F9" w:rsidRDefault="00A622F9" w:rsidP="00A622F9">
      <w:pPr>
        <w:shd w:val="clear" w:color="auto" w:fill="FFFFFF"/>
        <w:spacing w:line="360" w:lineRule="atLeast"/>
        <w:jc w:val="both"/>
        <w:rPr>
          <w:rFonts w:ascii="Arial" w:hAnsi="Arial" w:cs="Arial"/>
          <w:color w:val="333333"/>
          <w:sz w:val="23"/>
          <w:szCs w:val="23"/>
          <w:lang w:eastAsia="it-IT"/>
        </w:rPr>
      </w:pPr>
    </w:p>
    <w:p w:rsidR="00A622F9" w:rsidRDefault="00A622F9" w:rsidP="00A622F9">
      <w:pPr>
        <w:shd w:val="clear" w:color="auto" w:fill="FFFFFF"/>
        <w:spacing w:line="360" w:lineRule="atLeast"/>
        <w:rPr>
          <w:rFonts w:ascii="Arial" w:hAnsi="Arial" w:cs="Arial"/>
          <w:color w:val="333333"/>
          <w:sz w:val="23"/>
          <w:szCs w:val="23"/>
          <w:lang w:eastAsia="it-IT"/>
        </w:rPr>
      </w:pPr>
    </w:p>
    <w:p w:rsidR="00A622F9" w:rsidRDefault="00A622F9" w:rsidP="00A622F9">
      <w:pPr>
        <w:shd w:val="clear" w:color="auto" w:fill="FFFFFF"/>
        <w:spacing w:after="150"/>
        <w:rPr>
          <w:rFonts w:ascii="Arial" w:hAnsi="Arial" w:cs="Arial"/>
          <w:b/>
          <w:bCs/>
          <w:color w:val="222222"/>
          <w:sz w:val="48"/>
          <w:szCs w:val="48"/>
          <w:lang w:eastAsia="it-IT"/>
        </w:rPr>
      </w:pPr>
      <w:r>
        <w:rPr>
          <w:rFonts w:ascii="Arial" w:hAnsi="Arial" w:cs="Arial"/>
          <w:b/>
          <w:bCs/>
          <w:color w:val="222222"/>
          <w:sz w:val="48"/>
          <w:szCs w:val="48"/>
          <w:lang w:eastAsia="it-IT"/>
        </w:rPr>
        <w:t>Rimborso ricongiunzione onerosa</w:t>
      </w:r>
    </w:p>
    <w:p w:rsidR="00A622F9" w:rsidRDefault="00A622F9" w:rsidP="00A622F9">
      <w:pPr>
        <w:shd w:val="clear" w:color="auto" w:fill="FFFFFF"/>
        <w:spacing w:after="150"/>
        <w:jc w:val="both"/>
        <w:rPr>
          <w:rFonts w:ascii="Arial" w:hAnsi="Arial" w:cs="Arial"/>
          <w:i/>
          <w:iCs/>
          <w:color w:val="222222"/>
          <w:sz w:val="36"/>
          <w:szCs w:val="36"/>
          <w:lang w:eastAsia="it-IT"/>
        </w:rPr>
      </w:pPr>
      <w:r>
        <w:rPr>
          <w:rFonts w:ascii="Arial" w:hAnsi="Arial" w:cs="Arial"/>
          <w:i/>
          <w:iCs/>
          <w:color w:val="222222"/>
          <w:sz w:val="36"/>
          <w:szCs w:val="36"/>
          <w:lang w:eastAsia="it-IT"/>
        </w:rPr>
        <w:t>I lavoratori che hanno già avviato pratiche di ricongiunzione onerosa o totalizzazione possono recedere e passare al cumulo, con diritto al rimborso: novità Riforma Pensioni.</w:t>
      </w:r>
    </w:p>
    <w:p w:rsidR="00A622F9" w:rsidRDefault="00A622F9" w:rsidP="00A622F9">
      <w:pPr>
        <w:shd w:val="clear" w:color="auto" w:fill="FFFFFF"/>
        <w:spacing w:after="225"/>
        <w:jc w:val="both"/>
        <w:rPr>
          <w:rFonts w:ascii="Arial" w:hAnsi="Arial" w:cs="Arial"/>
          <w:color w:val="1A1A1A"/>
          <w:sz w:val="24"/>
          <w:szCs w:val="24"/>
          <w:lang w:eastAsia="it-IT"/>
        </w:rPr>
      </w:pPr>
      <w:r>
        <w:rPr>
          <w:rFonts w:ascii="Arial" w:hAnsi="Arial" w:cs="Arial"/>
          <w:color w:val="1A1A1A"/>
          <w:sz w:val="24"/>
          <w:szCs w:val="24"/>
          <w:highlight w:val="yellow"/>
          <w:lang w:eastAsia="it-IT"/>
        </w:rPr>
        <w:t>Una delle novità fondamentali del nuovo </w:t>
      </w:r>
      <w:r>
        <w:rPr>
          <w:rFonts w:ascii="Arial" w:hAnsi="Arial" w:cs="Arial"/>
          <w:b/>
          <w:bCs/>
          <w:color w:val="1A1A1A"/>
          <w:sz w:val="24"/>
          <w:szCs w:val="24"/>
          <w:highlight w:val="yellow"/>
          <w:lang w:eastAsia="it-IT"/>
        </w:rPr>
        <w:t>cumulo gratuito contributi</w:t>
      </w:r>
      <w:r>
        <w:rPr>
          <w:rFonts w:ascii="Arial" w:hAnsi="Arial" w:cs="Arial"/>
          <w:color w:val="1A1A1A"/>
          <w:sz w:val="24"/>
          <w:szCs w:val="24"/>
          <w:highlight w:val="yellow"/>
          <w:lang w:eastAsia="it-IT"/>
        </w:rPr>
        <w:t> previsto dalla Legge di Bilancio consiste nella possibilità di utilizzo anche da parte di coloro che negli anni precedenti avevano già avviato pratiche di </w:t>
      </w:r>
      <w:r>
        <w:rPr>
          <w:rFonts w:ascii="Arial" w:hAnsi="Arial" w:cs="Arial"/>
          <w:b/>
          <w:bCs/>
          <w:color w:val="1A1A1A"/>
          <w:sz w:val="24"/>
          <w:szCs w:val="24"/>
          <w:highlight w:val="yellow"/>
          <w:lang w:eastAsia="it-IT"/>
        </w:rPr>
        <w:t>ricongiunzione onerosa</w:t>
      </w:r>
      <w:r>
        <w:rPr>
          <w:rFonts w:ascii="Arial" w:hAnsi="Arial" w:cs="Arial"/>
          <w:color w:val="1A1A1A"/>
          <w:sz w:val="24"/>
          <w:szCs w:val="24"/>
          <w:highlight w:val="yellow"/>
          <w:lang w:eastAsia="it-IT"/>
        </w:rPr>
        <w:t> o di</w:t>
      </w:r>
      <w:r>
        <w:rPr>
          <w:rFonts w:ascii="Arial" w:hAnsi="Arial" w:cs="Arial"/>
          <w:b/>
          <w:bCs/>
          <w:color w:val="1A1A1A"/>
          <w:sz w:val="24"/>
          <w:szCs w:val="24"/>
          <w:highlight w:val="yellow"/>
          <w:lang w:eastAsia="it-IT"/>
        </w:rPr>
        <w:t> totalizzazione contributi.</w:t>
      </w:r>
      <w:r>
        <w:rPr>
          <w:rFonts w:ascii="Arial" w:hAnsi="Arial" w:cs="Arial"/>
          <w:color w:val="1A1A1A"/>
          <w:sz w:val="24"/>
          <w:szCs w:val="24"/>
          <w:lang w:eastAsia="it-IT"/>
        </w:rPr>
        <w:t xml:space="preserve"> Ci sono una serie di paletti, ad esempio la ricongiunzione non deve essere già stata completata con il pagamento integrale di quanto dovuto. </w:t>
      </w:r>
      <w:r>
        <w:rPr>
          <w:rFonts w:ascii="Arial" w:hAnsi="Arial" w:cs="Arial"/>
          <w:color w:val="1A1A1A"/>
          <w:sz w:val="24"/>
          <w:szCs w:val="24"/>
          <w:highlight w:val="yellow"/>
          <w:lang w:eastAsia="it-IT"/>
        </w:rPr>
        <w:t>Ma c’è il diritto al </w:t>
      </w:r>
      <w:r>
        <w:rPr>
          <w:rFonts w:ascii="Arial" w:hAnsi="Arial" w:cs="Arial"/>
          <w:b/>
          <w:bCs/>
          <w:color w:val="1A1A1A"/>
          <w:sz w:val="24"/>
          <w:szCs w:val="24"/>
          <w:highlight w:val="yellow"/>
          <w:lang w:eastAsia="it-IT"/>
        </w:rPr>
        <w:t xml:space="preserve">rimborso </w:t>
      </w:r>
      <w:r>
        <w:rPr>
          <w:rFonts w:ascii="Arial" w:hAnsi="Arial" w:cs="Arial"/>
          <w:color w:val="1A1A1A"/>
          <w:sz w:val="24"/>
          <w:szCs w:val="24"/>
          <w:highlight w:val="yellow"/>
          <w:lang w:eastAsia="it-IT"/>
        </w:rPr>
        <w:t>di quanto già versato</w:t>
      </w:r>
      <w:r>
        <w:rPr>
          <w:rFonts w:ascii="Arial" w:hAnsi="Arial" w:cs="Arial"/>
          <w:color w:val="1A1A1A"/>
          <w:sz w:val="24"/>
          <w:szCs w:val="24"/>
          <w:lang w:eastAsia="it-IT"/>
        </w:rPr>
        <w:t>. Vediamo esattamente quali possibilità si aprono con la nuova legge.</w:t>
      </w:r>
    </w:p>
    <w:p w:rsidR="00A622F9" w:rsidRDefault="00A622F9" w:rsidP="00A622F9">
      <w:pPr>
        <w:shd w:val="clear" w:color="auto" w:fill="FFFFFF"/>
        <w:spacing w:after="225"/>
        <w:jc w:val="both"/>
        <w:rPr>
          <w:rFonts w:ascii="Arial" w:hAnsi="Arial" w:cs="Arial"/>
          <w:b/>
          <w:bCs/>
          <w:color w:val="1A1A1A"/>
          <w:sz w:val="27"/>
          <w:szCs w:val="27"/>
          <w:lang w:eastAsia="it-IT"/>
        </w:rPr>
      </w:pPr>
      <w:hyperlink r:id="rId5" w:tgtFrame="_blank" w:tooltip="Pensione: cumulo gratuito per tutti" w:history="1">
        <w:r>
          <w:rPr>
            <w:rStyle w:val="Collegamentoipertestuale"/>
            <w:rFonts w:ascii="Arial" w:hAnsi="Arial" w:cs="Arial"/>
            <w:b/>
            <w:bCs/>
            <w:color w:val="auto"/>
            <w:sz w:val="27"/>
            <w:szCs w:val="27"/>
            <w:lang w:eastAsia="it-IT"/>
          </w:rPr>
          <w:t>Riforma Pensioni: cumulo gratuito per tutti</w:t>
        </w:r>
      </w:hyperlink>
    </w:p>
    <w:p w:rsidR="00A622F9" w:rsidRDefault="00A622F9" w:rsidP="00A622F9">
      <w:pPr>
        <w:shd w:val="clear" w:color="auto" w:fill="FFFFFF"/>
        <w:spacing w:after="225"/>
        <w:jc w:val="both"/>
        <w:rPr>
          <w:rFonts w:ascii="Arial" w:hAnsi="Arial" w:cs="Arial"/>
          <w:color w:val="1A1A1A"/>
          <w:sz w:val="24"/>
          <w:szCs w:val="24"/>
          <w:lang w:eastAsia="it-IT"/>
        </w:rPr>
      </w:pPr>
      <w:r>
        <w:rPr>
          <w:rFonts w:ascii="Arial" w:hAnsi="Arial" w:cs="Arial"/>
          <w:color w:val="1A1A1A"/>
          <w:sz w:val="24"/>
          <w:szCs w:val="24"/>
          <w:highlight w:val="yellow"/>
          <w:lang w:eastAsia="it-IT"/>
        </w:rPr>
        <w:t>Il nuovo cumulo gratuito contributi è previsto dal </w:t>
      </w:r>
      <w:r>
        <w:rPr>
          <w:rFonts w:ascii="Arial" w:hAnsi="Arial" w:cs="Arial"/>
          <w:i/>
          <w:iCs/>
          <w:color w:val="1A1A1A"/>
          <w:sz w:val="24"/>
          <w:szCs w:val="24"/>
          <w:highlight w:val="yellow"/>
          <w:lang w:eastAsia="it-IT"/>
        </w:rPr>
        <w:t>comma 195 della Legge di Bilancio</w:t>
      </w:r>
      <w:r>
        <w:rPr>
          <w:rFonts w:ascii="Arial" w:hAnsi="Arial" w:cs="Arial"/>
          <w:color w:val="1A1A1A"/>
          <w:sz w:val="24"/>
          <w:szCs w:val="24"/>
          <w:highlight w:val="yellow"/>
          <w:lang w:eastAsia="it-IT"/>
        </w:rPr>
        <w:t>, e consente (in estrema sintesi) di sommare periodi contributivi in diverse gestioni per raggiungere la </w:t>
      </w:r>
      <w:r>
        <w:rPr>
          <w:rFonts w:ascii="Arial" w:hAnsi="Arial" w:cs="Arial"/>
          <w:b/>
          <w:bCs/>
          <w:color w:val="1A1A1A"/>
          <w:sz w:val="24"/>
          <w:szCs w:val="24"/>
          <w:highlight w:val="yellow"/>
          <w:lang w:eastAsia="it-IT"/>
        </w:rPr>
        <w:t>pensione di vecchiaia</w:t>
      </w:r>
      <w:r>
        <w:rPr>
          <w:rFonts w:ascii="Arial" w:hAnsi="Arial" w:cs="Arial"/>
          <w:color w:val="1A1A1A"/>
          <w:sz w:val="24"/>
          <w:szCs w:val="24"/>
          <w:highlight w:val="yellow"/>
          <w:lang w:eastAsia="it-IT"/>
        </w:rPr>
        <w:t> oppure quella </w:t>
      </w:r>
      <w:r>
        <w:rPr>
          <w:rFonts w:ascii="Arial" w:hAnsi="Arial" w:cs="Arial"/>
          <w:b/>
          <w:bCs/>
          <w:color w:val="1A1A1A"/>
          <w:sz w:val="24"/>
          <w:szCs w:val="24"/>
          <w:highlight w:val="yellow"/>
          <w:lang w:eastAsia="it-IT"/>
        </w:rPr>
        <w:t>anticipata</w:t>
      </w:r>
      <w:r>
        <w:rPr>
          <w:rFonts w:ascii="Arial" w:hAnsi="Arial" w:cs="Arial"/>
          <w:color w:val="1A1A1A"/>
          <w:sz w:val="24"/>
          <w:szCs w:val="24"/>
          <w:highlight w:val="yellow"/>
          <w:lang w:eastAsia="it-IT"/>
        </w:rPr>
        <w:t> (è questa la novità, il cumulo per la pensione di vecchiaia era già consentito). Altra novità, il cumulo è esteso anche ai </w:t>
      </w:r>
      <w:r>
        <w:rPr>
          <w:rFonts w:ascii="Arial" w:hAnsi="Arial" w:cs="Arial"/>
          <w:b/>
          <w:bCs/>
          <w:color w:val="1A1A1A"/>
          <w:sz w:val="24"/>
          <w:szCs w:val="24"/>
          <w:highlight w:val="yellow"/>
          <w:lang w:eastAsia="it-IT"/>
        </w:rPr>
        <w:t>professionisti iscritti agli ordini</w:t>
      </w:r>
      <w:r>
        <w:rPr>
          <w:rFonts w:ascii="Arial" w:hAnsi="Arial" w:cs="Arial"/>
          <w:color w:val="1A1A1A"/>
          <w:sz w:val="24"/>
          <w:szCs w:val="24"/>
          <w:highlight w:val="yellow"/>
          <w:lang w:eastAsia="it-IT"/>
        </w:rPr>
        <w:t> che versano i contributi nelle casse di categoria. La pensione alla fine viene calcolata pro quota con le regole relative a ciascuna cassa, in riferimento ai contributi effettivamente versati.</w:t>
      </w:r>
    </w:p>
    <w:p w:rsidR="00A622F9" w:rsidRDefault="00A622F9" w:rsidP="00A622F9">
      <w:pPr>
        <w:shd w:val="clear" w:color="auto" w:fill="FFFFFF"/>
        <w:spacing w:after="225"/>
        <w:jc w:val="both"/>
        <w:rPr>
          <w:rFonts w:ascii="Arial" w:hAnsi="Arial" w:cs="Arial"/>
          <w:color w:val="1A1A1A"/>
          <w:sz w:val="24"/>
          <w:szCs w:val="24"/>
          <w:lang w:eastAsia="it-IT"/>
        </w:rPr>
      </w:pPr>
      <w:r>
        <w:rPr>
          <w:rFonts w:ascii="Arial" w:hAnsi="Arial" w:cs="Arial"/>
          <w:color w:val="1A1A1A"/>
          <w:sz w:val="24"/>
          <w:szCs w:val="24"/>
          <w:highlight w:val="yellow"/>
          <w:lang w:eastAsia="it-IT"/>
        </w:rPr>
        <w:t>Per quanto riguarda la </w:t>
      </w:r>
      <w:r>
        <w:rPr>
          <w:rFonts w:ascii="Arial" w:hAnsi="Arial" w:cs="Arial"/>
          <w:b/>
          <w:bCs/>
          <w:color w:val="1A1A1A"/>
          <w:sz w:val="24"/>
          <w:szCs w:val="24"/>
          <w:highlight w:val="yellow"/>
          <w:lang w:eastAsia="it-IT"/>
        </w:rPr>
        <w:t>ricongiunzione</w:t>
      </w:r>
      <w:r>
        <w:rPr>
          <w:rFonts w:ascii="Arial" w:hAnsi="Arial" w:cs="Arial"/>
          <w:color w:val="1A1A1A"/>
          <w:sz w:val="24"/>
          <w:szCs w:val="24"/>
          <w:highlight w:val="yellow"/>
          <w:lang w:eastAsia="it-IT"/>
        </w:rPr>
        <w:t>, il </w:t>
      </w:r>
      <w:r>
        <w:rPr>
          <w:rFonts w:ascii="Arial" w:hAnsi="Arial" w:cs="Arial"/>
          <w:i/>
          <w:iCs/>
          <w:color w:val="1A1A1A"/>
          <w:sz w:val="24"/>
          <w:szCs w:val="24"/>
          <w:highlight w:val="yellow"/>
          <w:lang w:eastAsia="it-IT"/>
        </w:rPr>
        <w:t>comma 197</w:t>
      </w:r>
      <w:r>
        <w:rPr>
          <w:rFonts w:ascii="Arial" w:hAnsi="Arial" w:cs="Arial"/>
          <w:color w:val="1A1A1A"/>
          <w:sz w:val="24"/>
          <w:szCs w:val="24"/>
          <w:highlight w:val="yellow"/>
          <w:lang w:eastAsia="it-IT"/>
        </w:rPr>
        <w:t> della manovra prevede la possibilità di recesso, con </w:t>
      </w:r>
      <w:r>
        <w:rPr>
          <w:rFonts w:ascii="Arial" w:hAnsi="Arial" w:cs="Arial"/>
          <w:b/>
          <w:bCs/>
          <w:color w:val="1A1A1A"/>
          <w:sz w:val="24"/>
          <w:szCs w:val="24"/>
          <w:highlight w:val="yellow"/>
          <w:lang w:eastAsia="it-IT"/>
        </w:rPr>
        <w:t>restituzione</w:t>
      </w:r>
      <w:r>
        <w:rPr>
          <w:rFonts w:ascii="Arial" w:hAnsi="Arial" w:cs="Arial"/>
          <w:color w:val="1A1A1A"/>
          <w:sz w:val="24"/>
          <w:szCs w:val="24"/>
          <w:highlight w:val="yellow"/>
          <w:lang w:eastAsia="it-IT"/>
        </w:rPr>
        <w:t> di quanto già versato. In parole semplici, un lavoratore che ha già avviato una pratica di ricongiunzione contributi versati in diverse gestioni previdenziali, e ha anche già iniziato a pagare l’operazione, può ripensarci, chiedere il rimborso di quanto già pagato, e passare al nuovo cumulo gratuito</w:t>
      </w:r>
      <w:r>
        <w:rPr>
          <w:rFonts w:ascii="Arial" w:hAnsi="Arial" w:cs="Arial"/>
          <w:color w:val="1A1A1A"/>
          <w:sz w:val="24"/>
          <w:szCs w:val="24"/>
          <w:lang w:eastAsia="it-IT"/>
        </w:rPr>
        <w:t xml:space="preserve">. Non è possibile il recesso nel caso in cui sia già stato perfezionato il pagamento integrale dell’importo dovuto. </w:t>
      </w:r>
      <w:r>
        <w:rPr>
          <w:rFonts w:ascii="Arial" w:hAnsi="Arial" w:cs="Arial"/>
          <w:color w:val="1A1A1A"/>
          <w:sz w:val="24"/>
          <w:szCs w:val="24"/>
          <w:highlight w:val="yellow"/>
          <w:lang w:eastAsia="it-IT"/>
        </w:rPr>
        <w:t>Altri </w:t>
      </w:r>
      <w:r>
        <w:rPr>
          <w:rFonts w:ascii="Arial" w:hAnsi="Arial" w:cs="Arial"/>
          <w:b/>
          <w:bCs/>
          <w:color w:val="1A1A1A"/>
          <w:sz w:val="24"/>
          <w:szCs w:val="24"/>
          <w:highlight w:val="yellow"/>
          <w:lang w:eastAsia="it-IT"/>
        </w:rPr>
        <w:t>paletti:</w:t>
      </w:r>
      <w:r>
        <w:rPr>
          <w:rFonts w:ascii="Arial" w:hAnsi="Arial" w:cs="Arial"/>
          <w:color w:val="1A1A1A"/>
          <w:sz w:val="24"/>
          <w:szCs w:val="24"/>
          <w:highlight w:val="yellow"/>
          <w:lang w:eastAsia="it-IT"/>
        </w:rPr>
        <w:t> la facoltà</w:t>
      </w:r>
      <w:r>
        <w:rPr>
          <w:rFonts w:ascii="Arial" w:hAnsi="Arial" w:cs="Arial"/>
          <w:color w:val="1A1A1A"/>
          <w:sz w:val="24"/>
          <w:szCs w:val="24"/>
          <w:lang w:eastAsia="it-IT"/>
        </w:rPr>
        <w:t xml:space="preserve"> di recesso deve essere esercitata nel 2017 (entro un anno dall’entrata in vigore della Legge di Bilancio). Non può essere utilizzata se la ricongiunzione ha già dato luogo alla liquidazione della pensione.</w:t>
      </w:r>
    </w:p>
    <w:p w:rsidR="00A622F9" w:rsidRDefault="00A622F9" w:rsidP="00A622F9">
      <w:pPr>
        <w:shd w:val="clear" w:color="auto" w:fill="FFFFFF"/>
        <w:spacing w:after="225"/>
        <w:jc w:val="both"/>
        <w:rPr>
          <w:rFonts w:ascii="Arial" w:hAnsi="Arial" w:cs="Arial"/>
          <w:color w:val="1A1A1A"/>
          <w:sz w:val="24"/>
          <w:szCs w:val="24"/>
          <w:lang w:eastAsia="it-IT"/>
        </w:rPr>
      </w:pPr>
      <w:r>
        <w:rPr>
          <w:rFonts w:ascii="Arial" w:hAnsi="Arial" w:cs="Arial"/>
          <w:color w:val="1A1A1A"/>
          <w:sz w:val="24"/>
          <w:szCs w:val="24"/>
          <w:highlight w:val="yellow"/>
          <w:lang w:eastAsia="it-IT"/>
        </w:rPr>
        <w:lastRenderedPageBreak/>
        <w:t>Per esercitare il recesso con rimborso bisogna presentare apposita domanda. La </w:t>
      </w:r>
      <w:r>
        <w:rPr>
          <w:rFonts w:ascii="Arial" w:hAnsi="Arial" w:cs="Arial"/>
          <w:b/>
          <w:bCs/>
          <w:color w:val="1A1A1A"/>
          <w:sz w:val="24"/>
          <w:szCs w:val="24"/>
          <w:highlight w:val="yellow"/>
          <w:lang w:eastAsia="it-IT"/>
        </w:rPr>
        <w:t>restituzione</w:t>
      </w:r>
      <w:r>
        <w:rPr>
          <w:rFonts w:ascii="Arial" w:hAnsi="Arial" w:cs="Arial"/>
          <w:color w:val="1A1A1A"/>
          <w:sz w:val="24"/>
          <w:szCs w:val="24"/>
          <w:highlight w:val="yellow"/>
          <w:lang w:eastAsia="it-IT"/>
        </w:rPr>
        <w:t> delle somme già versate, avviene a partire dal dodicesimo mese dalla richiesta, in quattro rate annuali, senza maggiorazioni per interessi.</w:t>
      </w:r>
    </w:p>
    <w:p w:rsidR="00A622F9" w:rsidRDefault="00A622F9" w:rsidP="00A622F9">
      <w:pPr>
        <w:shd w:val="clear" w:color="auto" w:fill="FFFFFF"/>
        <w:spacing w:after="225"/>
        <w:jc w:val="both"/>
        <w:rPr>
          <w:rFonts w:ascii="Arial" w:hAnsi="Arial" w:cs="Arial"/>
          <w:b/>
          <w:bCs/>
          <w:color w:val="1A1A1A"/>
          <w:sz w:val="24"/>
          <w:szCs w:val="24"/>
          <w:lang w:eastAsia="it-IT"/>
        </w:rPr>
      </w:pPr>
      <w:r>
        <w:rPr>
          <w:rFonts w:ascii="Arial" w:hAnsi="Arial" w:cs="Arial"/>
          <w:color w:val="1A1A1A"/>
          <w:sz w:val="24"/>
          <w:szCs w:val="24"/>
          <w:highlight w:val="yellow"/>
          <w:lang w:eastAsia="it-IT"/>
        </w:rPr>
        <w:t>Ricordiamo la principale differenza fra </w:t>
      </w:r>
      <w:r>
        <w:rPr>
          <w:rFonts w:ascii="Arial" w:hAnsi="Arial" w:cs="Arial"/>
          <w:b/>
          <w:bCs/>
          <w:color w:val="1A1A1A"/>
          <w:sz w:val="24"/>
          <w:szCs w:val="24"/>
          <w:highlight w:val="yellow"/>
          <w:lang w:eastAsia="it-IT"/>
        </w:rPr>
        <w:t>cumulo e ricongiunzione</w:t>
      </w:r>
      <w:r>
        <w:rPr>
          <w:rFonts w:ascii="Arial" w:hAnsi="Arial" w:cs="Arial"/>
          <w:color w:val="1A1A1A"/>
          <w:sz w:val="24"/>
          <w:szCs w:val="24"/>
          <w:lang w:eastAsia="it-IT"/>
        </w:rPr>
        <w:t>, importante per chi deve decidere quale opzione scegliere</w:t>
      </w:r>
      <w:r>
        <w:rPr>
          <w:rFonts w:ascii="Arial" w:hAnsi="Arial" w:cs="Arial"/>
          <w:color w:val="1A1A1A"/>
          <w:sz w:val="24"/>
          <w:szCs w:val="24"/>
          <w:highlight w:val="yellow"/>
          <w:lang w:eastAsia="it-IT"/>
        </w:rPr>
        <w:t xml:space="preserve">. </w:t>
      </w:r>
      <w:r>
        <w:rPr>
          <w:rFonts w:ascii="Arial" w:hAnsi="Arial" w:cs="Arial"/>
          <w:b/>
          <w:bCs/>
          <w:color w:val="1A1A1A"/>
          <w:sz w:val="24"/>
          <w:szCs w:val="24"/>
          <w:highlight w:val="yellow"/>
          <w:lang w:eastAsia="it-IT"/>
        </w:rPr>
        <w:t>La ricongiunzione è onerosa</w:t>
      </w:r>
      <w:r>
        <w:rPr>
          <w:rFonts w:ascii="Arial" w:hAnsi="Arial" w:cs="Arial"/>
          <w:b/>
          <w:bCs/>
          <w:color w:val="1A1A1A"/>
          <w:sz w:val="24"/>
          <w:szCs w:val="24"/>
          <w:lang w:eastAsia="it-IT"/>
        </w:rPr>
        <w:t xml:space="preserve">, quindi si paga (il conto può essere anche salato), </w:t>
      </w:r>
      <w:r>
        <w:rPr>
          <w:rFonts w:ascii="Arial" w:hAnsi="Arial" w:cs="Arial"/>
          <w:b/>
          <w:bCs/>
          <w:color w:val="1A1A1A"/>
          <w:sz w:val="24"/>
          <w:szCs w:val="24"/>
          <w:highlight w:val="yellow"/>
          <w:lang w:eastAsia="it-IT"/>
        </w:rPr>
        <w:t>ma la pensione alla fine viene liquidata con le regole della gestione in cui confluiscono i contributi</w:t>
      </w:r>
      <w:r>
        <w:rPr>
          <w:rFonts w:ascii="Arial" w:hAnsi="Arial" w:cs="Arial"/>
          <w:b/>
          <w:bCs/>
          <w:color w:val="1A1A1A"/>
          <w:sz w:val="24"/>
          <w:szCs w:val="24"/>
          <w:lang w:eastAsia="it-IT"/>
        </w:rPr>
        <w:t xml:space="preserve">. </w:t>
      </w:r>
      <w:r>
        <w:rPr>
          <w:rFonts w:ascii="Arial" w:hAnsi="Arial" w:cs="Arial"/>
          <w:b/>
          <w:bCs/>
          <w:color w:val="1A1A1A"/>
          <w:sz w:val="24"/>
          <w:szCs w:val="24"/>
          <w:highlight w:val="yellow"/>
          <w:lang w:eastAsia="it-IT"/>
        </w:rPr>
        <w:t>La pensione è liquidata con il sistema retributivo, contributivo, o misto</w:t>
      </w:r>
      <w:r>
        <w:rPr>
          <w:rFonts w:ascii="Arial" w:hAnsi="Arial" w:cs="Arial"/>
          <w:color w:val="1A1A1A"/>
          <w:sz w:val="24"/>
          <w:szCs w:val="24"/>
          <w:highlight w:val="yellow"/>
          <w:lang w:eastAsia="it-IT"/>
        </w:rPr>
        <w:t xml:space="preserve">. </w:t>
      </w:r>
      <w:r>
        <w:rPr>
          <w:rFonts w:ascii="Arial" w:hAnsi="Arial" w:cs="Arial"/>
          <w:b/>
          <w:bCs/>
          <w:color w:val="1A1A1A"/>
          <w:sz w:val="24"/>
          <w:szCs w:val="24"/>
          <w:highlight w:val="yellow"/>
          <w:lang w:eastAsia="it-IT"/>
        </w:rPr>
        <w:t>Si tratta quindi d uno strumento che può essere preferibile nel caso in cui le regole di calcolo della gestione in cui confluiscono i contributi siano particolarmente vantaggiose (ad esempio, se consentono il calcolo dell’assegno sull’ultimo stipendio, o mantengono quote retributive, e via dicendo).</w:t>
      </w:r>
    </w:p>
    <w:p w:rsidR="00A622F9" w:rsidRDefault="00A622F9" w:rsidP="00A622F9">
      <w:pPr>
        <w:shd w:val="clear" w:color="auto" w:fill="FFFFFF"/>
        <w:spacing w:after="225"/>
        <w:jc w:val="both"/>
        <w:rPr>
          <w:rFonts w:ascii="Arial" w:hAnsi="Arial" w:cs="Arial"/>
          <w:b/>
          <w:bCs/>
          <w:color w:val="1A1A1A"/>
          <w:sz w:val="27"/>
          <w:szCs w:val="27"/>
          <w:lang w:eastAsia="it-IT"/>
        </w:rPr>
      </w:pPr>
      <w:hyperlink r:id="rId6" w:tgtFrame="_blank" w:tooltip="Pensioni: mini guida alla ricongiunzione contributi" w:history="1">
        <w:r>
          <w:rPr>
            <w:rStyle w:val="Collegamentoipertestuale"/>
            <w:rFonts w:ascii="Arial" w:hAnsi="Arial" w:cs="Arial"/>
            <w:b/>
            <w:bCs/>
            <w:color w:val="auto"/>
            <w:sz w:val="27"/>
            <w:szCs w:val="27"/>
            <w:lang w:eastAsia="it-IT"/>
          </w:rPr>
          <w:t>La ricongiunzione dei contributi previdenziali</w:t>
        </w:r>
      </w:hyperlink>
    </w:p>
    <w:p w:rsidR="00A622F9" w:rsidRDefault="00A622F9" w:rsidP="00A622F9">
      <w:pPr>
        <w:shd w:val="clear" w:color="auto" w:fill="FFFFFF"/>
        <w:spacing w:after="225"/>
        <w:jc w:val="both"/>
        <w:rPr>
          <w:rFonts w:ascii="Arial" w:hAnsi="Arial" w:cs="Arial"/>
          <w:color w:val="1A1A1A"/>
          <w:sz w:val="24"/>
          <w:szCs w:val="24"/>
          <w:lang w:eastAsia="it-IT"/>
        </w:rPr>
      </w:pPr>
      <w:r>
        <w:rPr>
          <w:rFonts w:ascii="Arial" w:hAnsi="Arial" w:cs="Arial"/>
          <w:color w:val="1A1A1A"/>
          <w:sz w:val="24"/>
          <w:szCs w:val="24"/>
          <w:highlight w:val="yellow"/>
          <w:lang w:eastAsia="it-IT"/>
        </w:rPr>
        <w:t>Il cumulo, invece, è gratuito, ma il calcolo come detto avviene pro quota in base alle regole delle singole gestioni. Quindi, se uno degli enti previdenziali a cui sono versati i contributi ha regole più vantaggiose, queste si applicano solo alla parte di contributi effettivamente confluiti nello stesso ente.</w:t>
      </w:r>
    </w:p>
    <w:p w:rsidR="00A622F9" w:rsidRDefault="00A622F9" w:rsidP="00A622F9">
      <w:pPr>
        <w:shd w:val="clear" w:color="auto" w:fill="FFFFFF"/>
        <w:spacing w:after="225"/>
        <w:jc w:val="both"/>
        <w:rPr>
          <w:rFonts w:ascii="Arial" w:hAnsi="Arial" w:cs="Arial"/>
          <w:color w:val="1A1A1A"/>
          <w:sz w:val="24"/>
          <w:szCs w:val="24"/>
          <w:lang w:eastAsia="it-IT"/>
        </w:rPr>
      </w:pPr>
      <w:r>
        <w:rPr>
          <w:rFonts w:ascii="Arial" w:hAnsi="Arial" w:cs="Arial"/>
          <w:color w:val="1A1A1A"/>
          <w:sz w:val="24"/>
          <w:szCs w:val="24"/>
          <w:highlight w:val="yellow"/>
          <w:lang w:eastAsia="it-IT"/>
        </w:rPr>
        <w:t>Infine, la </w:t>
      </w:r>
      <w:r>
        <w:rPr>
          <w:rFonts w:ascii="Arial" w:hAnsi="Arial" w:cs="Arial"/>
          <w:b/>
          <w:bCs/>
          <w:color w:val="1A1A1A"/>
          <w:sz w:val="24"/>
          <w:szCs w:val="24"/>
          <w:highlight w:val="yellow"/>
          <w:lang w:eastAsia="it-IT"/>
        </w:rPr>
        <w:t>totalizzazione.</w:t>
      </w:r>
      <w:r>
        <w:rPr>
          <w:rFonts w:ascii="Arial" w:hAnsi="Arial" w:cs="Arial"/>
          <w:color w:val="1A1A1A"/>
          <w:sz w:val="24"/>
          <w:szCs w:val="24"/>
          <w:lang w:eastAsia="it-IT"/>
        </w:rPr>
        <w:t> </w:t>
      </w:r>
      <w:r>
        <w:rPr>
          <w:rFonts w:ascii="Arial" w:hAnsi="Arial" w:cs="Arial"/>
          <w:color w:val="1A1A1A"/>
          <w:sz w:val="24"/>
          <w:szCs w:val="24"/>
          <w:highlight w:val="yellow"/>
          <w:lang w:eastAsia="it-IT"/>
        </w:rPr>
        <w:t>Anche qui, la Legge di Stabilità </w:t>
      </w:r>
      <w:r>
        <w:rPr>
          <w:rFonts w:ascii="Arial" w:hAnsi="Arial" w:cs="Arial"/>
          <w:i/>
          <w:iCs/>
          <w:color w:val="1A1A1A"/>
          <w:sz w:val="24"/>
          <w:szCs w:val="24"/>
          <w:highlight w:val="yellow"/>
          <w:lang w:eastAsia="it-IT"/>
        </w:rPr>
        <w:t>(comma 198)</w:t>
      </w:r>
      <w:r>
        <w:rPr>
          <w:rFonts w:ascii="Arial" w:hAnsi="Arial" w:cs="Arial"/>
          <w:color w:val="1A1A1A"/>
          <w:sz w:val="24"/>
          <w:szCs w:val="24"/>
          <w:highlight w:val="yellow"/>
          <w:lang w:eastAsia="it-IT"/>
        </w:rPr>
        <w:t>, consente anche a coloro che aveva già presentato domanda di totalizzazione di recedere e passare al cumulo. Il procedimento amministrativo relativo alla domanda di totalizzazione non deve però essersi già concluso. La totalizzazione prevede che la pensione sia interamente calcolata con il sistema contributivo,</w:t>
      </w:r>
      <w:r>
        <w:rPr>
          <w:rFonts w:ascii="Arial" w:hAnsi="Arial" w:cs="Arial"/>
          <w:color w:val="1A1A1A"/>
          <w:sz w:val="24"/>
          <w:szCs w:val="24"/>
          <w:lang w:eastAsia="it-IT"/>
        </w:rPr>
        <w:t xml:space="preserve"> a meno che non ci sia un autonomo diritto a pensione maturato in una delle gestioni interessate. Quindi, come nel caso precedente, ogni lavoratore dovrà calcolare quale opzione è più conveniente.</w:t>
      </w:r>
    </w:p>
    <w:p w:rsidR="00A622F9" w:rsidRDefault="00A622F9" w:rsidP="00A622F9">
      <w:pPr>
        <w:shd w:val="clear" w:color="auto" w:fill="FFFFFF"/>
        <w:spacing w:after="225"/>
        <w:jc w:val="both"/>
        <w:rPr>
          <w:rFonts w:ascii="Arial" w:hAnsi="Arial" w:cs="Arial"/>
          <w:b/>
          <w:bCs/>
          <w:sz w:val="27"/>
          <w:szCs w:val="27"/>
          <w:lang w:eastAsia="it-IT"/>
        </w:rPr>
      </w:pPr>
      <w:hyperlink r:id="rId7" w:tgtFrame="_blank" w:tooltip="La totalizzazione dei contributi previdenziali" w:history="1">
        <w:r>
          <w:rPr>
            <w:rStyle w:val="Collegamentoipertestuale"/>
            <w:rFonts w:ascii="Arial" w:hAnsi="Arial" w:cs="Arial"/>
            <w:b/>
            <w:bCs/>
            <w:color w:val="auto"/>
            <w:sz w:val="27"/>
            <w:szCs w:val="27"/>
            <w:lang w:eastAsia="it-IT"/>
          </w:rPr>
          <w:t>Guida alla totalizzazione dei contributi previdenziali</w:t>
        </w:r>
      </w:hyperlink>
    </w:p>
    <w:p w:rsidR="00A622F9" w:rsidRDefault="00A622F9" w:rsidP="00A622F9">
      <w:pPr>
        <w:shd w:val="clear" w:color="auto" w:fill="FFFFFF"/>
        <w:jc w:val="both"/>
        <w:rPr>
          <w:rFonts w:ascii="Arial" w:hAnsi="Arial" w:cs="Arial"/>
          <w:color w:val="1A1A1A"/>
          <w:sz w:val="24"/>
          <w:szCs w:val="24"/>
          <w:lang w:eastAsia="it-IT"/>
        </w:rPr>
      </w:pPr>
      <w:r>
        <w:rPr>
          <w:rFonts w:ascii="Arial" w:hAnsi="Arial" w:cs="Arial"/>
          <w:color w:val="1A1A1A"/>
          <w:sz w:val="24"/>
          <w:szCs w:val="24"/>
          <w:highlight w:val="yellow"/>
          <w:lang w:eastAsia="it-IT"/>
        </w:rPr>
        <w:t>Un’altra differenza da tener presente che riguarda tutti i sistemi, è relativa alla maturazione del </w:t>
      </w:r>
      <w:r>
        <w:rPr>
          <w:rFonts w:ascii="Arial" w:hAnsi="Arial" w:cs="Arial"/>
          <w:b/>
          <w:bCs/>
          <w:color w:val="1A1A1A"/>
          <w:sz w:val="24"/>
          <w:szCs w:val="24"/>
          <w:highlight w:val="yellow"/>
          <w:lang w:eastAsia="it-IT"/>
        </w:rPr>
        <w:t>diritto alla pensione</w:t>
      </w:r>
      <w:r>
        <w:rPr>
          <w:rFonts w:ascii="Arial" w:hAnsi="Arial" w:cs="Arial"/>
          <w:color w:val="1A1A1A"/>
          <w:sz w:val="24"/>
          <w:szCs w:val="24"/>
          <w:lang w:eastAsia="it-IT"/>
        </w:rPr>
        <w:t xml:space="preserve">. </w:t>
      </w:r>
      <w:r>
        <w:rPr>
          <w:rFonts w:ascii="Arial" w:hAnsi="Arial" w:cs="Arial"/>
          <w:color w:val="1A1A1A"/>
          <w:sz w:val="24"/>
          <w:szCs w:val="24"/>
          <w:highlight w:val="yellow"/>
          <w:lang w:eastAsia="it-IT"/>
        </w:rPr>
        <w:t>Con la ricongiunzione la pensione è maturata con le regole della gestione nella quale confluiscono i contributi</w:t>
      </w:r>
      <w:r>
        <w:rPr>
          <w:rFonts w:ascii="Arial" w:hAnsi="Arial" w:cs="Arial"/>
          <w:color w:val="1A1A1A"/>
          <w:sz w:val="24"/>
          <w:szCs w:val="24"/>
          <w:lang w:eastAsia="it-IT"/>
        </w:rPr>
        <w:t xml:space="preserve">. Con la </w:t>
      </w:r>
      <w:r>
        <w:rPr>
          <w:rFonts w:ascii="Arial" w:hAnsi="Arial" w:cs="Arial"/>
          <w:color w:val="1A1A1A"/>
          <w:sz w:val="24"/>
          <w:szCs w:val="24"/>
          <w:highlight w:val="yellow"/>
          <w:lang w:eastAsia="it-IT"/>
        </w:rPr>
        <w:t>totalizzazione, valgono i requisiti previsti dalla </w:t>
      </w:r>
      <w:r>
        <w:rPr>
          <w:rFonts w:ascii="Arial" w:hAnsi="Arial" w:cs="Arial"/>
          <w:i/>
          <w:iCs/>
          <w:color w:val="1A1A1A"/>
          <w:sz w:val="24"/>
          <w:szCs w:val="24"/>
          <w:highlight w:val="yellow"/>
          <w:lang w:eastAsia="it-IT"/>
        </w:rPr>
        <w:t>legge 42/2006</w:t>
      </w:r>
      <w:r>
        <w:rPr>
          <w:rFonts w:ascii="Arial" w:hAnsi="Arial" w:cs="Arial"/>
          <w:color w:val="1A1A1A"/>
          <w:sz w:val="24"/>
          <w:szCs w:val="24"/>
          <w:highlight w:val="yellow"/>
          <w:lang w:eastAsia="it-IT"/>
        </w:rPr>
        <w:t>: per la pensione di vecchiaia 65 e sette mesi di età, 20 anni di contributi, 18 mesi di finestra mobile per la decorrenza.</w:t>
      </w:r>
      <w:r>
        <w:rPr>
          <w:rFonts w:ascii="Arial" w:hAnsi="Arial" w:cs="Arial"/>
          <w:color w:val="1A1A1A"/>
          <w:sz w:val="24"/>
          <w:szCs w:val="24"/>
          <w:lang w:eastAsia="it-IT"/>
        </w:rPr>
        <w:t xml:space="preserve"> Per la pensione anticipata, 40 anni e sette mesi, più 21 mesi di finestra mobile. Con il cumulo, la pensione di vecchiaia si raggiunge in base alle regole più severe previste dalle varie gestioni interessate (quindi, all’età più alta fra quelle previste dai diversi enti previdenziali in cui sono versati contributi che si decide di cumulare), </w:t>
      </w:r>
      <w:r>
        <w:rPr>
          <w:rFonts w:ascii="Arial" w:hAnsi="Arial" w:cs="Arial"/>
          <w:color w:val="1A1A1A"/>
          <w:sz w:val="24"/>
          <w:szCs w:val="24"/>
          <w:highlight w:val="yellow"/>
          <w:lang w:eastAsia="it-IT"/>
        </w:rPr>
        <w:t>la pensione anticipata si raggiunge con 42 anni e 10 mesi di contributi per gli uomini (41 anni e dieci mesi per le donne).</w:t>
      </w:r>
    </w:p>
    <w:p w:rsidR="00A622F9" w:rsidRDefault="00A622F9" w:rsidP="00A622F9"/>
    <w:p w:rsidR="0060603B" w:rsidRDefault="0060603B"/>
    <w:sectPr w:rsidR="0060603B" w:rsidSect="0060603B">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characterSpacingControl w:val="doNotCompress"/>
  <w:compat/>
  <w:rsids>
    <w:rsidRoot w:val="00A622F9"/>
    <w:rsid w:val="000145DA"/>
    <w:rsid w:val="00122B05"/>
    <w:rsid w:val="0060603B"/>
    <w:rsid w:val="00853E82"/>
    <w:rsid w:val="00A622F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622F9"/>
    <w:pPr>
      <w:jc w:val="left"/>
    </w:pPr>
    <w:rPr>
      <w:rFonts w:ascii="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A622F9"/>
    <w:rPr>
      <w:color w:val="0563C1"/>
      <w:u w:val="single"/>
    </w:rPr>
  </w:style>
</w:styles>
</file>

<file path=word/webSettings.xml><?xml version="1.0" encoding="utf-8"?>
<w:webSettings xmlns:r="http://schemas.openxmlformats.org/officeDocument/2006/relationships" xmlns:w="http://schemas.openxmlformats.org/wordprocessingml/2006/main">
  <w:divs>
    <w:div w:id="2097286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pmi.it/impresa/contabilita-e-fisco/articolo/52726/la-totalizzazione-dei-contributi-previdenziali.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mi.it/economia/lavoro/approfondimenti/79198/pensioni-mini-guida-alla-ricongiunzione-contributi.html" TargetMode="External"/><Relationship Id="rId5" Type="http://schemas.openxmlformats.org/officeDocument/2006/relationships/hyperlink" Target="http://www.pmi.it/economia/lavoro/approfondimenti/140925/pensione-cumulo-gratuito-per-tutti.html" TargetMode="External"/><Relationship Id="rId4" Type="http://schemas.openxmlformats.org/officeDocument/2006/relationships/hyperlink" Target="http://www.pmi.it/economia/lavoro/approfondimenti/140925/pensione-cumulo-gratuito-per-tutti.html" TargetMode="Externa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1383</Words>
  <Characters>7887</Characters>
  <Application>Microsoft Office Word</Application>
  <DocSecurity>0</DocSecurity>
  <Lines>65</Lines>
  <Paragraphs>18</Paragraphs>
  <ScaleCrop>false</ScaleCrop>
  <Company/>
  <LinksUpToDate>false</LinksUpToDate>
  <CharactersWithSpaces>9252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pcnuovo</dc:creator>
  <cp:lastModifiedBy>pcnuovo</cp:lastModifiedBy>
  <cp:revision>1</cp:revision>
  <dcterms:created xsi:type="dcterms:W3CDTF">2017-01-18T11:57:00Z</dcterms:created>
  <dcterms:modified xsi:type="dcterms:W3CDTF">2017-01-18T11:58:00Z</dcterms:modified>
</cp:coreProperties>
</file>