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66" w:rsidRDefault="00410566" w:rsidP="00410566">
      <w:pPr>
        <w:jc w:val="both"/>
        <w:rPr>
          <w:rFonts w:ascii="Garamond" w:hAnsi="Garamond"/>
          <w:b w:val="0"/>
          <w:i/>
        </w:rPr>
      </w:pPr>
    </w:p>
    <w:p w:rsidR="00410566" w:rsidRDefault="00410566" w:rsidP="00410566">
      <w:pPr>
        <w:jc w:val="both"/>
        <w:rPr>
          <w:rFonts w:ascii="Garamond" w:hAnsi="Garamond"/>
          <w:b w:val="0"/>
          <w:i/>
        </w:rPr>
      </w:pPr>
      <w:r>
        <w:rPr>
          <w:rFonts w:ascii="Garamond" w:hAnsi="Garamond"/>
          <w:b w:val="0"/>
          <w:i/>
        </w:rPr>
        <w:t>Giovedì, 5 maggio 2016 ore 20.00 – Sala Liliana Russo – Ordine dei Farmacisti della Provincia di Salerno</w:t>
      </w:r>
    </w:p>
    <w:p w:rsidR="00410566" w:rsidRDefault="00410566" w:rsidP="00410566">
      <w:pPr>
        <w:jc w:val="both"/>
        <w:rPr>
          <w:rFonts w:ascii="Garamond" w:hAnsi="Garamond"/>
          <w:b w:val="0"/>
          <w:i/>
        </w:rPr>
      </w:pPr>
    </w:p>
    <w:tbl>
      <w:tblPr>
        <w:tblStyle w:val="Grigliatabella"/>
        <w:tblW w:w="8688" w:type="dxa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65"/>
        <w:gridCol w:w="4123"/>
      </w:tblGrid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</w:rPr>
            </w:pPr>
            <w:r>
              <w:rPr>
                <w:rFonts w:ascii="Garamond" w:eastAsia="Calibri" w:hAnsi="Garamond"/>
                <w:b w:val="0"/>
                <w:u w:val="single"/>
              </w:rPr>
              <w:t>Relatori</w:t>
            </w:r>
            <w:r>
              <w:rPr>
                <w:rFonts w:ascii="Garamond" w:eastAsia="Calibri" w:hAnsi="Garamond"/>
                <w:b w:val="0"/>
              </w:rPr>
              <w:t>:</w:t>
            </w: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u w:val="single"/>
              </w:rPr>
            </w:pPr>
          </w:p>
        </w:tc>
      </w:tr>
      <w:tr w:rsidR="00410566" w:rsidTr="00410566">
        <w:trPr>
          <w:trHeight w:val="313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 xml:space="preserve">Avv. Gustavo </w:t>
            </w:r>
            <w:proofErr w:type="spellStart"/>
            <w:r>
              <w:rPr>
                <w:rFonts w:ascii="Garamond" w:eastAsia="Calibri" w:hAnsi="Garamond"/>
                <w:b w:val="0"/>
                <w:i/>
              </w:rPr>
              <w:t>Bacigalupo</w:t>
            </w:r>
            <w:proofErr w:type="spellEnd"/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>Rag. Franco Lucidi</w:t>
            </w:r>
          </w:p>
        </w:tc>
      </w:tr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sz w:val="10"/>
                <w:szCs w:val="10"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>Avv. Stefano Lucidi</w:t>
            </w: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  <w:u w:val="single"/>
              </w:rPr>
            </w:pPr>
            <w:r>
              <w:rPr>
                <w:rFonts w:ascii="Garamond" w:eastAsia="Calibri" w:hAnsi="Garamond"/>
                <w:b w:val="0"/>
                <w:i/>
              </w:rPr>
              <w:t xml:space="preserve">Dr. Roberto </w:t>
            </w:r>
            <w:proofErr w:type="spellStart"/>
            <w:r>
              <w:rPr>
                <w:rFonts w:ascii="Garamond" w:eastAsia="Calibri" w:hAnsi="Garamond"/>
                <w:b w:val="0"/>
                <w:i/>
              </w:rPr>
              <w:t>Santori</w:t>
            </w:r>
            <w:proofErr w:type="spellEnd"/>
          </w:p>
        </w:tc>
      </w:tr>
      <w:tr w:rsidR="00410566" w:rsidTr="00410566">
        <w:trPr>
          <w:trHeight w:val="329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</w:tr>
      <w:tr w:rsidR="00410566" w:rsidTr="00410566">
        <w:trPr>
          <w:trHeight w:val="313"/>
        </w:trPr>
        <w:tc>
          <w:tcPr>
            <w:tcW w:w="4565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  <w:tc>
          <w:tcPr>
            <w:tcW w:w="4123" w:type="dxa"/>
          </w:tcPr>
          <w:p w:rsidR="00410566" w:rsidRDefault="00410566" w:rsidP="00750D2C">
            <w:pPr>
              <w:rPr>
                <w:rFonts w:ascii="Garamond" w:eastAsia="Calibri" w:hAnsi="Garamond"/>
                <w:b w:val="0"/>
                <w:i/>
              </w:rPr>
            </w:pPr>
          </w:p>
        </w:tc>
      </w:tr>
    </w:tbl>
    <w:p w:rsidR="00410566" w:rsidRDefault="00410566" w:rsidP="00410566">
      <w:pPr>
        <w:ind w:left="840"/>
        <w:jc w:val="both"/>
        <w:rPr>
          <w:rFonts w:ascii="Garamond" w:hAnsi="Garamond"/>
          <w:b w:val="0"/>
          <w:i/>
        </w:rPr>
      </w:pPr>
      <w:r>
        <w:rPr>
          <w:rFonts w:ascii="Garamond" w:hAnsi="Garamond"/>
          <w:b w:val="0"/>
          <w:i/>
        </w:rPr>
        <w:t>Temi trattati: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Le intese tra i vincitori in forma associata: in particolare, il problema dell’individuazione delle sedi da indicare in risposta al primo interpello, la scelta della forma sociale e la predisposizione dell’atto costitutivo della società.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Le fasi successive all’approvazione della graduatoria: il primo interpello, la risposta all’interpello, l’assegnazione provvisoria, l’accettazione, la definitiva assegnazione regionale della sede, l’indicazione del locale e il pagamento della tassa di concessione regionale (se dovuta), il rogito di costituzione della società, l’istanza di rilascio della titolarità e l’apertura della farmacia.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L’assegnazione di due sedi in due diversi concorsi, la nota ministeriale del 23/11/2012 sulla “contitolarità”, la deliberazione della Giunta Emiliana e il diverso avviso del Consiglio di Stato (sent. n. 4128 del 07/09/2015).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tabs>
          <w:tab w:val="num" w:pos="840"/>
        </w:tabs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 xml:space="preserve">Le sedi sub </w:t>
      </w:r>
      <w:proofErr w:type="spellStart"/>
      <w:r w:rsidRPr="00410566">
        <w:rPr>
          <w:rFonts w:ascii="Garamond" w:hAnsi="Garamond"/>
          <w:b w:val="0"/>
          <w:i/>
        </w:rPr>
        <w:t>judice</w:t>
      </w:r>
      <w:proofErr w:type="spellEnd"/>
      <w:r w:rsidRPr="00410566">
        <w:rPr>
          <w:rFonts w:ascii="Garamond" w:hAnsi="Garamond"/>
          <w:b w:val="0"/>
          <w:i/>
        </w:rPr>
        <w:t>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>La “maggiorazione” ai rurali e il limite dei 35 punti.</w:t>
      </w:r>
    </w:p>
    <w:p w:rsidR="00410566" w:rsidRP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  <w:i/>
        </w:rPr>
      </w:pPr>
      <w:r w:rsidRPr="00410566">
        <w:rPr>
          <w:rFonts w:ascii="Garamond" w:hAnsi="Garamond"/>
          <w:b w:val="0"/>
          <w:i/>
        </w:rPr>
        <w:t xml:space="preserve">Il business </w:t>
      </w:r>
      <w:proofErr w:type="spellStart"/>
      <w:r w:rsidRPr="00410566">
        <w:rPr>
          <w:rFonts w:ascii="Garamond" w:hAnsi="Garamond"/>
          <w:b w:val="0"/>
          <w:i/>
        </w:rPr>
        <w:t>plan</w:t>
      </w:r>
      <w:proofErr w:type="spellEnd"/>
      <w:r w:rsidRPr="00410566">
        <w:rPr>
          <w:rFonts w:ascii="Garamond" w:hAnsi="Garamond"/>
          <w:b w:val="0"/>
          <w:i/>
        </w:rPr>
        <w:t xml:space="preserve"> per la start up della farmacia in concorso.</w:t>
      </w:r>
    </w:p>
    <w:p w:rsidR="00410566" w:rsidRDefault="00410566" w:rsidP="00410566">
      <w:pPr>
        <w:pStyle w:val="Paragrafoelenco"/>
        <w:numPr>
          <w:ilvl w:val="0"/>
          <w:numId w:val="2"/>
        </w:numPr>
        <w:jc w:val="both"/>
        <w:rPr>
          <w:rFonts w:ascii="Garamond" w:hAnsi="Garamond"/>
          <w:b w:val="0"/>
        </w:rPr>
      </w:pPr>
      <w:r w:rsidRPr="00410566">
        <w:rPr>
          <w:rFonts w:ascii="Garamond" w:hAnsi="Garamond"/>
          <w:b w:val="0"/>
          <w:i/>
        </w:rPr>
        <w:t xml:space="preserve">Interverrà inoltre anche un rappresentante di </w:t>
      </w:r>
      <w:proofErr w:type="spellStart"/>
      <w:r w:rsidRPr="00410566">
        <w:rPr>
          <w:rFonts w:ascii="Garamond" w:hAnsi="Garamond"/>
          <w:b w:val="0"/>
          <w:i/>
        </w:rPr>
        <w:t>Credifarma</w:t>
      </w:r>
      <w:proofErr w:type="spellEnd"/>
      <w:r w:rsidRPr="00410566">
        <w:rPr>
          <w:rFonts w:ascii="Garamond" w:hAnsi="Garamond"/>
          <w:b w:val="0"/>
          <w:i/>
        </w:rPr>
        <w:t xml:space="preserve"> che si soffermerà brevemente sui criteri e le tipologie di finanziamento</w:t>
      </w:r>
      <w:r w:rsidRPr="00410566">
        <w:rPr>
          <w:rFonts w:ascii="Garamond" w:hAnsi="Garamond"/>
          <w:b w:val="0"/>
        </w:rPr>
        <w:t>.</w:t>
      </w:r>
      <w:bookmarkStart w:id="0" w:name="_GoBack"/>
      <w:bookmarkEnd w:id="0"/>
    </w:p>
    <w:p w:rsidR="00410566" w:rsidRPr="00410566" w:rsidRDefault="00410566" w:rsidP="00410566">
      <w:pPr>
        <w:pStyle w:val="Paragrafoelenco"/>
        <w:jc w:val="both"/>
        <w:rPr>
          <w:rFonts w:ascii="Garamond" w:hAnsi="Garamond"/>
          <w:b w:val="0"/>
        </w:rPr>
      </w:pPr>
    </w:p>
    <w:p w:rsidR="00410566" w:rsidRPr="00410566" w:rsidRDefault="00410566" w:rsidP="00410566">
      <w:pPr>
        <w:pStyle w:val="Paragrafoelenco"/>
        <w:jc w:val="both"/>
        <w:rPr>
          <w:rFonts w:ascii="Garamond" w:hAnsi="Garamond"/>
          <w:b w:val="0"/>
        </w:rPr>
      </w:pPr>
      <w:r w:rsidRPr="00410566">
        <w:rPr>
          <w:rFonts w:ascii="Garamond" w:hAnsi="Garamond"/>
          <w:b w:val="0"/>
        </w:rPr>
        <w:t>Come è agevole rilevare, alcuni di questi temi riguardano soprattutto i partecipanti ai concorsi straordinari mentre altri sono evidentemente comuni alle due procedure concorsuali.</w:t>
      </w:r>
    </w:p>
    <w:p w:rsidR="00410566" w:rsidRDefault="00410566" w:rsidP="00410566">
      <w:pPr>
        <w:jc w:val="both"/>
        <w:rPr>
          <w:rFonts w:ascii="Garamond" w:hAnsi="Garamond"/>
          <w:b w:val="0"/>
        </w:rPr>
      </w:pPr>
    </w:p>
    <w:p w:rsidR="005D1A01" w:rsidRDefault="005D1A01"/>
    <w:sectPr w:rsidR="005D1A01" w:rsidSect="00213F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29F"/>
    <w:multiLevelType w:val="hybridMultilevel"/>
    <w:tmpl w:val="5A3C1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91668"/>
    <w:multiLevelType w:val="hybridMultilevel"/>
    <w:tmpl w:val="9CAE2FF2"/>
    <w:lvl w:ilvl="0" w:tplc="A404D8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10566"/>
    <w:rsid w:val="00213FE2"/>
    <w:rsid w:val="00410566"/>
    <w:rsid w:val="005D1A01"/>
    <w:rsid w:val="00964D7F"/>
    <w:rsid w:val="00AB4DAD"/>
    <w:rsid w:val="00DE4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0566"/>
    <w:pPr>
      <w:spacing w:after="0" w:line="240" w:lineRule="auto"/>
    </w:pPr>
    <w:rPr>
      <w:rFonts w:ascii="Book Antiqua" w:eastAsia="Times New Roman" w:hAnsi="Book Antiqua" w:cs="Times New Roman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566"/>
    <w:pPr>
      <w:ind w:left="720"/>
      <w:contextualSpacing/>
    </w:pPr>
  </w:style>
  <w:style w:type="table" w:styleId="Grigliatabella">
    <w:name w:val="Table Grid"/>
    <w:basedOn w:val="Tabellanormale"/>
    <w:uiPriority w:val="99"/>
    <w:rsid w:val="004105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Ferdinando De Francesco</dc:creator>
  <cp:lastModifiedBy>pcnuovo</cp:lastModifiedBy>
  <cp:revision>2</cp:revision>
  <dcterms:created xsi:type="dcterms:W3CDTF">2016-05-04T07:54:00Z</dcterms:created>
  <dcterms:modified xsi:type="dcterms:W3CDTF">2016-05-04T07:54:00Z</dcterms:modified>
</cp:coreProperties>
</file>