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566" w:rsidRDefault="00410566" w:rsidP="00410566">
      <w:pPr>
        <w:jc w:val="both"/>
        <w:rPr>
          <w:rFonts w:ascii="Garamond" w:hAnsi="Garamond"/>
          <w:b w:val="0"/>
          <w:i/>
        </w:rPr>
      </w:pPr>
    </w:p>
    <w:p w:rsidR="00410566" w:rsidRDefault="00410566" w:rsidP="00410566">
      <w:pPr>
        <w:jc w:val="both"/>
        <w:rPr>
          <w:rFonts w:ascii="Garamond" w:hAnsi="Garamond"/>
          <w:b w:val="0"/>
          <w:i/>
        </w:rPr>
      </w:pPr>
      <w:r>
        <w:rPr>
          <w:rFonts w:ascii="Garamond" w:hAnsi="Garamond"/>
          <w:b w:val="0"/>
          <w:i/>
        </w:rPr>
        <w:t>Giovedì, 5 maggio 2016 ore 20.00 – Sala Liliana Russo – Ordine dei Farmacisti della Provincia di Salerno</w:t>
      </w:r>
    </w:p>
    <w:p w:rsidR="00410566" w:rsidRDefault="00410566" w:rsidP="00410566">
      <w:pPr>
        <w:jc w:val="both"/>
        <w:rPr>
          <w:rFonts w:ascii="Garamond" w:hAnsi="Garamond"/>
          <w:b w:val="0"/>
          <w:i/>
        </w:rPr>
      </w:pPr>
    </w:p>
    <w:tbl>
      <w:tblPr>
        <w:tblStyle w:val="Grigliatabella"/>
        <w:tblW w:w="8688" w:type="dxa"/>
        <w:tblInd w:w="2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4565"/>
        <w:gridCol w:w="4123"/>
      </w:tblGrid>
      <w:tr w:rsidR="00410566" w:rsidTr="00410566">
        <w:trPr>
          <w:trHeight w:val="329"/>
        </w:trPr>
        <w:tc>
          <w:tcPr>
            <w:tcW w:w="4565" w:type="dxa"/>
          </w:tcPr>
          <w:p w:rsidR="00410566" w:rsidRDefault="00410566" w:rsidP="00750D2C">
            <w:pPr>
              <w:rPr>
                <w:rFonts w:ascii="Garamond" w:eastAsia="Calibri" w:hAnsi="Garamond"/>
                <w:b w:val="0"/>
              </w:rPr>
            </w:pPr>
            <w:r>
              <w:rPr>
                <w:rFonts w:ascii="Garamond" w:eastAsia="Calibri" w:hAnsi="Garamond"/>
                <w:b w:val="0"/>
                <w:u w:val="single"/>
              </w:rPr>
              <w:t>Relatori</w:t>
            </w:r>
            <w:r>
              <w:rPr>
                <w:rFonts w:ascii="Garamond" w:eastAsia="Calibri" w:hAnsi="Garamond"/>
                <w:b w:val="0"/>
              </w:rPr>
              <w:t>:</w:t>
            </w:r>
          </w:p>
        </w:tc>
        <w:tc>
          <w:tcPr>
            <w:tcW w:w="4123" w:type="dxa"/>
          </w:tcPr>
          <w:p w:rsidR="00410566" w:rsidRDefault="00410566" w:rsidP="00750D2C">
            <w:pPr>
              <w:rPr>
                <w:rFonts w:ascii="Garamond" w:eastAsia="Calibri" w:hAnsi="Garamond"/>
                <w:u w:val="single"/>
              </w:rPr>
            </w:pPr>
          </w:p>
        </w:tc>
      </w:tr>
      <w:tr w:rsidR="00410566" w:rsidTr="00410566">
        <w:trPr>
          <w:trHeight w:val="313"/>
        </w:trPr>
        <w:tc>
          <w:tcPr>
            <w:tcW w:w="4565" w:type="dxa"/>
          </w:tcPr>
          <w:p w:rsidR="00410566" w:rsidRDefault="00410566" w:rsidP="00750D2C">
            <w:pPr>
              <w:rPr>
                <w:rFonts w:ascii="Garamond" w:eastAsia="Calibri" w:hAnsi="Garamond"/>
                <w:b w:val="0"/>
                <w:i/>
                <w:u w:val="single"/>
              </w:rPr>
            </w:pPr>
            <w:r>
              <w:rPr>
                <w:rFonts w:ascii="Garamond" w:eastAsia="Calibri" w:hAnsi="Garamond"/>
                <w:b w:val="0"/>
                <w:i/>
              </w:rPr>
              <w:t xml:space="preserve">Avv. Gustavo </w:t>
            </w:r>
            <w:proofErr w:type="spellStart"/>
            <w:r>
              <w:rPr>
                <w:rFonts w:ascii="Garamond" w:eastAsia="Calibri" w:hAnsi="Garamond"/>
                <w:b w:val="0"/>
                <w:i/>
              </w:rPr>
              <w:t>Bacigalupo</w:t>
            </w:r>
            <w:proofErr w:type="spellEnd"/>
          </w:p>
        </w:tc>
        <w:tc>
          <w:tcPr>
            <w:tcW w:w="4123" w:type="dxa"/>
          </w:tcPr>
          <w:p w:rsidR="00410566" w:rsidRDefault="00410566" w:rsidP="00750D2C">
            <w:pPr>
              <w:rPr>
                <w:rFonts w:ascii="Garamond" w:eastAsia="Calibri" w:hAnsi="Garamond"/>
                <w:b w:val="0"/>
                <w:i/>
                <w:u w:val="single"/>
              </w:rPr>
            </w:pPr>
            <w:r>
              <w:rPr>
                <w:rFonts w:ascii="Garamond" w:eastAsia="Calibri" w:hAnsi="Garamond"/>
                <w:b w:val="0"/>
                <w:i/>
              </w:rPr>
              <w:t>Rag. Franco Lucidi</w:t>
            </w:r>
          </w:p>
        </w:tc>
      </w:tr>
      <w:tr w:rsidR="00410566" w:rsidTr="00410566">
        <w:trPr>
          <w:trHeight w:val="329"/>
        </w:trPr>
        <w:tc>
          <w:tcPr>
            <w:tcW w:w="4565" w:type="dxa"/>
          </w:tcPr>
          <w:p w:rsidR="00410566" w:rsidRDefault="00410566" w:rsidP="00750D2C">
            <w:pPr>
              <w:rPr>
                <w:rFonts w:ascii="Garamond" w:eastAsia="Calibri" w:hAnsi="Garamond"/>
                <w:b w:val="0"/>
                <w:i/>
                <w:sz w:val="10"/>
                <w:szCs w:val="10"/>
                <w:u w:val="single"/>
              </w:rPr>
            </w:pPr>
            <w:r>
              <w:rPr>
                <w:rFonts w:ascii="Garamond" w:eastAsia="Calibri" w:hAnsi="Garamond"/>
                <w:b w:val="0"/>
                <w:i/>
              </w:rPr>
              <w:t>Avv. Stefano Lucidi</w:t>
            </w:r>
          </w:p>
        </w:tc>
        <w:tc>
          <w:tcPr>
            <w:tcW w:w="4123" w:type="dxa"/>
          </w:tcPr>
          <w:p w:rsidR="00410566" w:rsidRDefault="00410566" w:rsidP="00750D2C">
            <w:pPr>
              <w:rPr>
                <w:rFonts w:ascii="Garamond" w:eastAsia="Calibri" w:hAnsi="Garamond"/>
                <w:b w:val="0"/>
                <w:i/>
                <w:u w:val="single"/>
              </w:rPr>
            </w:pPr>
            <w:r>
              <w:rPr>
                <w:rFonts w:ascii="Garamond" w:eastAsia="Calibri" w:hAnsi="Garamond"/>
                <w:b w:val="0"/>
                <w:i/>
              </w:rPr>
              <w:t xml:space="preserve">Dr. Roberto </w:t>
            </w:r>
            <w:proofErr w:type="spellStart"/>
            <w:r>
              <w:rPr>
                <w:rFonts w:ascii="Garamond" w:eastAsia="Calibri" w:hAnsi="Garamond"/>
                <w:b w:val="0"/>
                <w:i/>
              </w:rPr>
              <w:t>Santori</w:t>
            </w:r>
            <w:proofErr w:type="spellEnd"/>
          </w:p>
        </w:tc>
      </w:tr>
      <w:tr w:rsidR="00410566" w:rsidTr="00410566">
        <w:trPr>
          <w:trHeight w:val="329"/>
        </w:trPr>
        <w:tc>
          <w:tcPr>
            <w:tcW w:w="4565" w:type="dxa"/>
          </w:tcPr>
          <w:p w:rsidR="00410566" w:rsidRDefault="00410566" w:rsidP="00750D2C">
            <w:pPr>
              <w:rPr>
                <w:rFonts w:ascii="Garamond" w:eastAsia="Calibri" w:hAnsi="Garamond"/>
                <w:b w:val="0"/>
                <w:i/>
              </w:rPr>
            </w:pPr>
          </w:p>
        </w:tc>
        <w:tc>
          <w:tcPr>
            <w:tcW w:w="4123" w:type="dxa"/>
          </w:tcPr>
          <w:p w:rsidR="00410566" w:rsidRDefault="00410566" w:rsidP="00750D2C">
            <w:pPr>
              <w:rPr>
                <w:rFonts w:ascii="Garamond" w:eastAsia="Calibri" w:hAnsi="Garamond"/>
                <w:b w:val="0"/>
                <w:i/>
              </w:rPr>
            </w:pPr>
          </w:p>
        </w:tc>
      </w:tr>
      <w:tr w:rsidR="00410566" w:rsidTr="00410566">
        <w:trPr>
          <w:trHeight w:val="313"/>
        </w:trPr>
        <w:tc>
          <w:tcPr>
            <w:tcW w:w="4565" w:type="dxa"/>
          </w:tcPr>
          <w:p w:rsidR="00410566" w:rsidRDefault="00410566" w:rsidP="00750D2C">
            <w:pPr>
              <w:rPr>
                <w:rFonts w:ascii="Garamond" w:eastAsia="Calibri" w:hAnsi="Garamond"/>
                <w:b w:val="0"/>
                <w:i/>
              </w:rPr>
            </w:pPr>
          </w:p>
        </w:tc>
        <w:tc>
          <w:tcPr>
            <w:tcW w:w="4123" w:type="dxa"/>
          </w:tcPr>
          <w:p w:rsidR="00410566" w:rsidRDefault="00410566" w:rsidP="00750D2C">
            <w:pPr>
              <w:rPr>
                <w:rFonts w:ascii="Garamond" w:eastAsia="Calibri" w:hAnsi="Garamond"/>
                <w:b w:val="0"/>
                <w:i/>
              </w:rPr>
            </w:pPr>
          </w:p>
        </w:tc>
      </w:tr>
    </w:tbl>
    <w:p w:rsidR="00410566" w:rsidRDefault="00410566" w:rsidP="00410566">
      <w:pPr>
        <w:ind w:left="840"/>
        <w:jc w:val="both"/>
        <w:rPr>
          <w:rFonts w:ascii="Garamond" w:hAnsi="Garamond"/>
          <w:b w:val="0"/>
          <w:i/>
        </w:rPr>
      </w:pPr>
      <w:r>
        <w:rPr>
          <w:rFonts w:ascii="Garamond" w:hAnsi="Garamond"/>
          <w:b w:val="0"/>
          <w:i/>
        </w:rPr>
        <w:t>Temi trattati:</w:t>
      </w:r>
    </w:p>
    <w:p w:rsidR="00410566" w:rsidRPr="00410566" w:rsidRDefault="00410566" w:rsidP="00410566">
      <w:pPr>
        <w:pStyle w:val="Paragrafoelenco"/>
        <w:numPr>
          <w:ilvl w:val="0"/>
          <w:numId w:val="2"/>
        </w:numPr>
        <w:jc w:val="both"/>
        <w:rPr>
          <w:rFonts w:ascii="Garamond" w:hAnsi="Garamond"/>
          <w:b w:val="0"/>
          <w:i/>
        </w:rPr>
      </w:pPr>
      <w:r w:rsidRPr="00410566">
        <w:rPr>
          <w:rFonts w:ascii="Garamond" w:hAnsi="Garamond"/>
          <w:b w:val="0"/>
          <w:i/>
        </w:rPr>
        <w:t>Le intese tra i vincitori in forma associata: in particolare, il problema dell’individuazione delle sedi da indicare in risposta al primo interpello, la scelta della forma sociale e la predisposizione dell’atto costitutivo della società.</w:t>
      </w:r>
    </w:p>
    <w:p w:rsidR="00410566" w:rsidRPr="00410566" w:rsidRDefault="00410566" w:rsidP="00410566">
      <w:pPr>
        <w:pStyle w:val="Paragrafoelenco"/>
        <w:numPr>
          <w:ilvl w:val="0"/>
          <w:numId w:val="2"/>
        </w:numPr>
        <w:jc w:val="both"/>
        <w:rPr>
          <w:rFonts w:ascii="Garamond" w:hAnsi="Garamond"/>
          <w:b w:val="0"/>
          <w:i/>
        </w:rPr>
      </w:pPr>
      <w:r w:rsidRPr="00410566">
        <w:rPr>
          <w:rFonts w:ascii="Garamond" w:hAnsi="Garamond"/>
          <w:b w:val="0"/>
          <w:i/>
        </w:rPr>
        <w:t>Le fasi successive all’approvazione della graduatoria: il primo interpello, la risposta all’interpello, l’assegnazione provvisoria, l’accettazione, la definitiva assegnazione regionale della sede, l’indicazione del locale e il pagamento della tassa di concessione regionale (se dovuta), il rogito di costituzione della società, l’istanza di rilascio della titolarità e l’apertura della farmacia.</w:t>
      </w:r>
    </w:p>
    <w:p w:rsidR="00410566" w:rsidRPr="00410566" w:rsidRDefault="00410566" w:rsidP="00410566">
      <w:pPr>
        <w:pStyle w:val="Paragrafoelenco"/>
        <w:numPr>
          <w:ilvl w:val="0"/>
          <w:numId w:val="2"/>
        </w:numPr>
        <w:jc w:val="both"/>
        <w:rPr>
          <w:rFonts w:ascii="Garamond" w:hAnsi="Garamond"/>
          <w:b w:val="0"/>
          <w:i/>
        </w:rPr>
      </w:pPr>
      <w:r w:rsidRPr="00410566">
        <w:rPr>
          <w:rFonts w:ascii="Garamond" w:hAnsi="Garamond"/>
          <w:b w:val="0"/>
          <w:i/>
        </w:rPr>
        <w:lastRenderedPageBreak/>
        <w:t>L’assegnazione di due sedi in due diversi concorsi, la nota ministeriale del 23/11/2012 sulla “contitolarità”, la deliberazione della Giunta Emiliana e il diverso avviso del Consiglio di Stato (sent. n. 4128 del 07/09/2015).</w:t>
      </w:r>
    </w:p>
    <w:p w:rsidR="00410566" w:rsidRPr="00410566" w:rsidRDefault="00410566" w:rsidP="00410566">
      <w:pPr>
        <w:pStyle w:val="Paragrafoelenco"/>
        <w:numPr>
          <w:ilvl w:val="0"/>
          <w:numId w:val="2"/>
        </w:numPr>
        <w:tabs>
          <w:tab w:val="num" w:pos="840"/>
        </w:tabs>
        <w:jc w:val="both"/>
        <w:rPr>
          <w:rFonts w:ascii="Garamond" w:hAnsi="Garamond"/>
          <w:b w:val="0"/>
          <w:i/>
        </w:rPr>
      </w:pPr>
      <w:r w:rsidRPr="00410566">
        <w:rPr>
          <w:rFonts w:ascii="Garamond" w:hAnsi="Garamond"/>
          <w:b w:val="0"/>
          <w:i/>
        </w:rPr>
        <w:t xml:space="preserve">Le sedi sub </w:t>
      </w:r>
      <w:proofErr w:type="spellStart"/>
      <w:r w:rsidRPr="00410566">
        <w:rPr>
          <w:rFonts w:ascii="Garamond" w:hAnsi="Garamond"/>
          <w:b w:val="0"/>
          <w:i/>
        </w:rPr>
        <w:t>judice</w:t>
      </w:r>
      <w:proofErr w:type="spellEnd"/>
      <w:r w:rsidRPr="00410566">
        <w:rPr>
          <w:rFonts w:ascii="Garamond" w:hAnsi="Garamond"/>
          <w:b w:val="0"/>
          <w:i/>
        </w:rPr>
        <w:t>.</w:t>
      </w:r>
    </w:p>
    <w:p w:rsidR="00410566" w:rsidRPr="00410566" w:rsidRDefault="00410566" w:rsidP="00410566">
      <w:pPr>
        <w:pStyle w:val="Paragrafoelenco"/>
        <w:numPr>
          <w:ilvl w:val="0"/>
          <w:numId w:val="2"/>
        </w:numPr>
        <w:jc w:val="both"/>
        <w:rPr>
          <w:rFonts w:ascii="Garamond" w:hAnsi="Garamond"/>
          <w:b w:val="0"/>
          <w:i/>
        </w:rPr>
      </w:pPr>
      <w:r w:rsidRPr="00410566">
        <w:rPr>
          <w:rFonts w:ascii="Garamond" w:hAnsi="Garamond"/>
          <w:b w:val="0"/>
          <w:i/>
        </w:rPr>
        <w:t>La “maggiorazione” ai rurali e il limite dei 35 punti.</w:t>
      </w:r>
    </w:p>
    <w:p w:rsidR="00410566" w:rsidRPr="00410566" w:rsidRDefault="00410566" w:rsidP="00410566">
      <w:pPr>
        <w:pStyle w:val="Paragrafoelenco"/>
        <w:numPr>
          <w:ilvl w:val="0"/>
          <w:numId w:val="2"/>
        </w:numPr>
        <w:jc w:val="both"/>
        <w:rPr>
          <w:rFonts w:ascii="Garamond" w:hAnsi="Garamond"/>
          <w:b w:val="0"/>
          <w:i/>
        </w:rPr>
      </w:pPr>
      <w:r w:rsidRPr="00410566">
        <w:rPr>
          <w:rFonts w:ascii="Garamond" w:hAnsi="Garamond"/>
          <w:b w:val="0"/>
          <w:i/>
        </w:rPr>
        <w:t xml:space="preserve">Il business </w:t>
      </w:r>
      <w:proofErr w:type="spellStart"/>
      <w:r w:rsidRPr="00410566">
        <w:rPr>
          <w:rFonts w:ascii="Garamond" w:hAnsi="Garamond"/>
          <w:b w:val="0"/>
          <w:i/>
        </w:rPr>
        <w:t>plan</w:t>
      </w:r>
      <w:proofErr w:type="spellEnd"/>
      <w:r w:rsidRPr="00410566">
        <w:rPr>
          <w:rFonts w:ascii="Garamond" w:hAnsi="Garamond"/>
          <w:b w:val="0"/>
          <w:i/>
        </w:rPr>
        <w:t xml:space="preserve"> per la start up della farmacia in concorso.</w:t>
      </w:r>
    </w:p>
    <w:p w:rsidR="00410566" w:rsidRDefault="00410566" w:rsidP="00410566">
      <w:pPr>
        <w:pStyle w:val="Paragrafoelenco"/>
        <w:numPr>
          <w:ilvl w:val="0"/>
          <w:numId w:val="2"/>
        </w:numPr>
        <w:jc w:val="both"/>
        <w:rPr>
          <w:rFonts w:ascii="Garamond" w:hAnsi="Garamond"/>
          <w:b w:val="0"/>
        </w:rPr>
      </w:pPr>
      <w:r w:rsidRPr="00410566">
        <w:rPr>
          <w:rFonts w:ascii="Garamond" w:hAnsi="Garamond"/>
          <w:b w:val="0"/>
          <w:i/>
        </w:rPr>
        <w:t xml:space="preserve">Interverrà inoltre anche un rappresentante di </w:t>
      </w:r>
      <w:proofErr w:type="spellStart"/>
      <w:r w:rsidRPr="00410566">
        <w:rPr>
          <w:rFonts w:ascii="Garamond" w:hAnsi="Garamond"/>
          <w:b w:val="0"/>
          <w:i/>
        </w:rPr>
        <w:t>Credifarma</w:t>
      </w:r>
      <w:proofErr w:type="spellEnd"/>
      <w:r w:rsidRPr="00410566">
        <w:rPr>
          <w:rFonts w:ascii="Garamond" w:hAnsi="Garamond"/>
          <w:b w:val="0"/>
          <w:i/>
        </w:rPr>
        <w:t xml:space="preserve"> che si soffermerà brevemente sui criteri e le tipologie di finanziamento</w:t>
      </w:r>
      <w:r w:rsidRPr="00410566">
        <w:rPr>
          <w:rFonts w:ascii="Garamond" w:hAnsi="Garamond"/>
          <w:b w:val="0"/>
        </w:rPr>
        <w:t>.</w:t>
      </w:r>
      <w:bookmarkStart w:id="0" w:name="_GoBack"/>
      <w:bookmarkEnd w:id="0"/>
    </w:p>
    <w:p w:rsidR="00410566" w:rsidRPr="00410566" w:rsidRDefault="00410566" w:rsidP="00410566">
      <w:pPr>
        <w:pStyle w:val="Paragrafoelenco"/>
        <w:jc w:val="both"/>
        <w:rPr>
          <w:rFonts w:ascii="Garamond" w:hAnsi="Garamond"/>
          <w:b w:val="0"/>
        </w:rPr>
      </w:pPr>
    </w:p>
    <w:p w:rsidR="00410566" w:rsidRPr="00410566" w:rsidRDefault="00410566" w:rsidP="00410566">
      <w:pPr>
        <w:pStyle w:val="Paragrafoelenco"/>
        <w:jc w:val="both"/>
        <w:rPr>
          <w:rFonts w:ascii="Garamond" w:hAnsi="Garamond"/>
          <w:b w:val="0"/>
        </w:rPr>
      </w:pPr>
      <w:r w:rsidRPr="00410566">
        <w:rPr>
          <w:rFonts w:ascii="Garamond" w:hAnsi="Garamond"/>
          <w:b w:val="0"/>
        </w:rPr>
        <w:t>Come è agevole rilevare, alcuni di questi temi riguardano soprattutto i partecipanti ai concorsi straordinari mentre altri sono evidentemente comuni alle due procedure concorsuali.</w:t>
      </w:r>
    </w:p>
    <w:p w:rsidR="00410566" w:rsidRDefault="00410566" w:rsidP="00410566">
      <w:pPr>
        <w:jc w:val="both"/>
        <w:rPr>
          <w:rFonts w:ascii="Garamond" w:hAnsi="Garamond"/>
          <w:b w:val="0"/>
        </w:rPr>
      </w:pPr>
    </w:p>
    <w:p w:rsidR="005D1A01" w:rsidRDefault="005D1A01"/>
    <w:sectPr w:rsidR="005D1A01" w:rsidSect="00213FE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37629F"/>
    <w:multiLevelType w:val="hybridMultilevel"/>
    <w:tmpl w:val="5A3C13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191668"/>
    <w:multiLevelType w:val="hybridMultilevel"/>
    <w:tmpl w:val="9CAE2FF2"/>
    <w:lvl w:ilvl="0" w:tplc="A404D8B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proofState w:spelling="clean"/>
  <w:defaultTabStop w:val="708"/>
  <w:hyphenationZone w:val="283"/>
  <w:characterSpacingControl w:val="doNotCompress"/>
  <w:compat/>
  <w:rsids>
    <w:rsidRoot w:val="00410566"/>
    <w:rsid w:val="00213FE2"/>
    <w:rsid w:val="00410566"/>
    <w:rsid w:val="005D1A01"/>
    <w:rsid w:val="00DE4D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10566"/>
    <w:pPr>
      <w:spacing w:after="0" w:line="240" w:lineRule="auto"/>
    </w:pPr>
    <w:rPr>
      <w:rFonts w:ascii="Book Antiqua" w:eastAsia="Times New Roman" w:hAnsi="Book Antiqua" w:cs="Times New Roman"/>
      <w:b/>
      <w:sz w:val="28"/>
      <w:szCs w:val="2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10566"/>
    <w:pPr>
      <w:ind w:left="720"/>
      <w:contextualSpacing/>
    </w:pPr>
  </w:style>
  <w:style w:type="table" w:styleId="Grigliatabella">
    <w:name w:val="Table Grid"/>
    <w:basedOn w:val="Tabellanormale"/>
    <w:uiPriority w:val="99"/>
    <w:rsid w:val="0041056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Ferdinando De Francesco</dc:creator>
  <cp:lastModifiedBy>pcnuovo</cp:lastModifiedBy>
  <cp:revision>2</cp:revision>
  <dcterms:created xsi:type="dcterms:W3CDTF">2016-04-26T07:21:00Z</dcterms:created>
  <dcterms:modified xsi:type="dcterms:W3CDTF">2016-04-26T07:21:00Z</dcterms:modified>
</cp:coreProperties>
</file>